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75628791"/>
    <w:bookmarkStart w:id="1" w:name="_Toc89774796"/>
    <w:p w:rsidR="00EB3CE2" w:rsidRDefault="00EB3CE2" w:rsidP="00EB3CE2">
      <w:pPr>
        <w:pStyle w:val="Heading1"/>
      </w:pPr>
      <w:r w:rsidRPr="002D741A">
        <w:rPr>
          <w:noProof/>
        </w:rPr>
        <mc:AlternateContent>
          <mc:Choice Requires="wpi">
            <w:drawing>
              <wp:anchor distT="0" distB="0" distL="114300" distR="114300" simplePos="0" relativeHeight="251658240" behindDoc="0" locked="0" layoutInCell="1" allowOverlap="1" wp14:anchorId="0110C8A2" wp14:editId="7BEDB2A9">
                <wp:simplePos x="0" y="0"/>
                <wp:positionH relativeFrom="column">
                  <wp:posOffset>7267068</wp:posOffset>
                </wp:positionH>
                <wp:positionV relativeFrom="paragraph">
                  <wp:posOffset>153834</wp:posOffset>
                </wp:positionV>
                <wp:extent cx="2448" cy="2448"/>
                <wp:effectExtent l="38100" t="38100" r="36195" b="36195"/>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2448" cy="2448"/>
                      </w14:xfrm>
                    </w14:contentPart>
                  </a:graphicData>
                </a:graphic>
              </wp:anchor>
            </w:drawing>
          </mc:Choice>
          <mc:Fallback>
            <w:pict>
              <v:shapetype w14:anchorId="48B9CC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71.9pt;margin-top:11.8pt;width:.85pt;height:.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">
                <v:imagedata r:id="rId9" o:title=""/>
              </v:shape>
            </w:pict>
          </mc:Fallback>
        </mc:AlternateContent>
      </w:r>
      <w:r w:rsidRPr="002D741A">
        <w:t>New Program Approvals</w:t>
      </w:r>
      <w:bookmarkEnd w:id="0"/>
      <w:bookmarkEnd w:id="1"/>
      <w:r>
        <w:t xml:space="preserve"> – Post Site Visit Report</w:t>
      </w:r>
    </w:p>
    <w:p w:rsidR="00DF6D00" w:rsidRPr="00745729" w:rsidRDefault="00DF6D00" w:rsidP="00DF6D00">
      <w:pPr>
        <w:rPr>
          <w:i/>
        </w:rPr>
      </w:pPr>
      <w:r w:rsidRPr="00C426B3">
        <w:rPr>
          <w:b/>
          <w:i/>
        </w:rPr>
        <w:t>NOTE 1</w:t>
      </w:r>
      <w:r>
        <w:rPr>
          <w:i/>
        </w:rPr>
        <w:t xml:space="preserve">: The Audit Report lead writer will rely heavily on this post site visit report to inform the writing of Audit Report. Please ensure that you provide sufficient context and rationale for your findings below to support any proposed suggestions, recommendations, or best practices. </w:t>
      </w:r>
    </w:p>
    <w:p w:rsidR="00DF6D00" w:rsidRDefault="00DF6D00" w:rsidP="00DF6D00">
      <w:pPr>
        <w:rPr>
          <w:i/>
        </w:rPr>
      </w:pPr>
      <w:r w:rsidRPr="00C426B3">
        <w:rPr>
          <w:b/>
          <w:i/>
        </w:rPr>
        <w:t>NOTE 2</w:t>
      </w:r>
      <w:r w:rsidRPr="00745729">
        <w:rPr>
          <w:i/>
        </w:rPr>
        <w:t>: An extract of the QAF Protocol</w:t>
      </w:r>
      <w:r>
        <w:rPr>
          <w:i/>
        </w:rPr>
        <w:t xml:space="preserve"> for New Program Approvals</w:t>
      </w:r>
      <w:r w:rsidRPr="00745729">
        <w:rPr>
          <w:i/>
        </w:rPr>
        <w:t xml:space="preserve"> is provided as an Appendix to this template</w:t>
      </w:r>
    </w:p>
    <w:p w:rsidR="00776FB1" w:rsidRDefault="00776FB1" w:rsidP="00776FB1">
      <w:pPr>
        <w:rPr>
          <w:i/>
        </w:rPr>
      </w:pPr>
      <w:r w:rsidRPr="00996BA1">
        <w:rPr>
          <w:b/>
          <w:i/>
        </w:rPr>
        <w:t>NOTE 3</w:t>
      </w:r>
      <w:r>
        <w:rPr>
          <w:i/>
        </w:rPr>
        <w:t xml:space="preserve">: The University of Ottawa 2022-2023 Audit Report Addendum can be used for examples of good approaches to the post site visit reports. </w:t>
      </w:r>
    </w:p>
    <w:p w:rsidR="00EB3CE2" w:rsidRPr="004E3709" w:rsidRDefault="00EB3CE2" w:rsidP="00EB3CE2">
      <w:pPr>
        <w:pStyle w:val="3Heading"/>
        <w:ind w:left="360"/>
        <w:rPr>
          <w:rFonts w:ascii="Arial" w:hAnsi="Arial" w:cs="Arial"/>
          <w:b/>
          <w:color w:val="0072BF" w:themeColor="accent1" w:themeShade="BF"/>
          <w:sz w:val="24"/>
        </w:rPr>
      </w:pPr>
      <w:bookmarkStart w:id="2" w:name="_Toc89774797"/>
      <w:r w:rsidRPr="004E3709">
        <w:rPr>
          <w:rFonts w:ascii="Arial" w:hAnsi="Arial" w:cs="Arial"/>
          <w:b/>
          <w:color w:val="0072BF" w:themeColor="accent1" w:themeShade="BF"/>
          <w:sz w:val="24"/>
        </w:rPr>
        <w:t>(Insert program name and degree(s))</w:t>
      </w:r>
      <w:bookmarkEnd w:id="2"/>
    </w:p>
    <w:p w:rsidR="00EB3CE2" w:rsidRDefault="003B20B2" w:rsidP="00EB3CE2">
      <w:pPr>
        <w:ind w:left="360"/>
        <w:rPr>
          <w:i/>
        </w:rPr>
      </w:pPr>
      <w:r>
        <w:rPr>
          <w:i/>
        </w:rPr>
        <w:t>[</w:t>
      </w:r>
      <w:r w:rsidR="00EB3CE2">
        <w:rPr>
          <w:i/>
        </w:rPr>
        <w:t xml:space="preserve">Add a brief description (approx. one paragraph) summarizing </w:t>
      </w:r>
      <w:r w:rsidR="0028500F">
        <w:rPr>
          <w:i/>
        </w:rPr>
        <w:t xml:space="preserve">any </w:t>
      </w:r>
      <w:r w:rsidR="00EB3CE2">
        <w:rPr>
          <w:i/>
        </w:rPr>
        <w:t xml:space="preserve">the key steps in the development of the Program such as: when the proposal was initiated; </w:t>
      </w:r>
      <w:r w:rsidR="0028500F">
        <w:rPr>
          <w:i/>
        </w:rPr>
        <w:t>Quality Council approval</w:t>
      </w:r>
      <w:r w:rsidR="000A710C">
        <w:rPr>
          <w:i/>
        </w:rPr>
        <w:t xml:space="preserve">; </w:t>
      </w:r>
      <w:r w:rsidR="00EB3CE2">
        <w:rPr>
          <w:i/>
        </w:rPr>
        <w:t xml:space="preserve">when students were first admitted; when the first CPR is/was scheduled; </w:t>
      </w:r>
      <w:r w:rsidR="0028500F">
        <w:rPr>
          <w:i/>
        </w:rPr>
        <w:t xml:space="preserve">whether the monitoring of the new program has occurred, as per the IQAP; and overall, </w:t>
      </w:r>
      <w:r w:rsidR="00EB3CE2">
        <w:rPr>
          <w:i/>
        </w:rPr>
        <w:t>whether the QA process was compliant throughout</w:t>
      </w:r>
      <w:r w:rsidR="000A710C">
        <w:rPr>
          <w:i/>
        </w:rPr>
        <w:t>. A brief</w:t>
      </w:r>
      <w:r w:rsidR="00EB3CE2">
        <w:rPr>
          <w:i/>
        </w:rPr>
        <w:t xml:space="preserve"> </w:t>
      </w:r>
      <w:r w:rsidR="000A710C">
        <w:rPr>
          <w:i/>
        </w:rPr>
        <w:t>su</w:t>
      </w:r>
      <w:r w:rsidR="00EB3CE2">
        <w:rPr>
          <w:i/>
        </w:rPr>
        <w:t>mmar</w:t>
      </w:r>
      <w:r w:rsidR="000A710C">
        <w:rPr>
          <w:i/>
        </w:rPr>
        <w:t>y of</w:t>
      </w:r>
      <w:r w:rsidR="00EB3CE2">
        <w:rPr>
          <w:i/>
        </w:rPr>
        <w:t xml:space="preserve"> any significant issues found during the audit</w:t>
      </w:r>
      <w:r w:rsidR="000A710C">
        <w:rPr>
          <w:i/>
        </w:rPr>
        <w:t xml:space="preserve"> should be noted in this introductory paragraph</w:t>
      </w:r>
      <w:r w:rsidR="00EB3CE2">
        <w:rPr>
          <w:i/>
        </w:rPr>
        <w:t>.</w:t>
      </w:r>
      <w:r>
        <w:rPr>
          <w:i/>
        </w:rPr>
        <w:t>]</w:t>
      </w:r>
    </w:p>
    <w:p w:rsidR="00D93415" w:rsidRPr="00D93415" w:rsidRDefault="00D93415" w:rsidP="00EB3CE2">
      <w:pPr>
        <w:ind w:left="360"/>
      </w:pPr>
    </w:p>
    <w:p w:rsidR="00EB3CE2" w:rsidRPr="002D741A" w:rsidRDefault="00EB3CE2" w:rsidP="00017852">
      <w:pPr>
        <w:pStyle w:val="Heading5"/>
        <w:numPr>
          <w:ilvl w:val="0"/>
          <w:numId w:val="6"/>
        </w:numPr>
        <w:spacing w:before="200"/>
        <w:rPr>
          <w:rFonts w:cs="Arial"/>
        </w:rPr>
      </w:pPr>
      <w:r w:rsidRPr="002D741A">
        <w:rPr>
          <w:rFonts w:cs="Arial"/>
          <w:lang w:eastAsia="en-CA"/>
        </w:rPr>
        <w:t>Initial Institutional Process</w:t>
      </w:r>
      <w:r w:rsidRPr="002D741A">
        <w:rPr>
          <w:rFonts w:cs="Arial"/>
        </w:rPr>
        <w:t>:</w:t>
      </w:r>
    </w:p>
    <w:p w:rsidR="00D93415" w:rsidRPr="00D93415" w:rsidRDefault="000939F2" w:rsidP="00D93415">
      <w:pPr>
        <w:ind w:left="720"/>
        <w:rPr>
          <w:i/>
        </w:rPr>
      </w:pPr>
      <w:r w:rsidRPr="00A77B9B">
        <w:rPr>
          <w:i/>
        </w:rPr>
        <w:t xml:space="preserve">[Note whether the </w:t>
      </w:r>
      <w:r>
        <w:rPr>
          <w:i/>
        </w:rPr>
        <w:t xml:space="preserve">initiation of proposed program </w:t>
      </w:r>
      <w:r w:rsidRPr="00A77B9B">
        <w:rPr>
          <w:i/>
        </w:rPr>
        <w:t xml:space="preserve">process was compliant / not compliant. </w:t>
      </w:r>
      <w:r>
        <w:rPr>
          <w:i/>
        </w:rPr>
        <w:t>For example, was there evidence of it following the internal approval steps required by the IQAP</w:t>
      </w:r>
      <w:r w:rsidR="0072065C">
        <w:rPr>
          <w:i/>
        </w:rPr>
        <w:t>? Were templates provided? Etc.</w:t>
      </w:r>
      <w:r>
        <w:rPr>
          <w:i/>
        </w:rPr>
        <w:t xml:space="preserve"> </w:t>
      </w:r>
      <w:r w:rsidRPr="00A77B9B">
        <w:rPr>
          <w:i/>
        </w:rPr>
        <w:t>If not compliant, add applicable comments based on desk audit report</w:t>
      </w:r>
      <w:r>
        <w:rPr>
          <w:i/>
        </w:rPr>
        <w:t xml:space="preserve"> section 2. a.</w:t>
      </w:r>
      <w:r w:rsidRPr="00A77B9B">
        <w:rPr>
          <w:i/>
        </w:rPr>
        <w:t xml:space="preserve"> and </w:t>
      </w:r>
      <w:r>
        <w:rPr>
          <w:i/>
        </w:rPr>
        <w:t xml:space="preserve">any applicable </w:t>
      </w:r>
      <w:r w:rsidRPr="00A77B9B">
        <w:rPr>
          <w:i/>
        </w:rPr>
        <w:t>site visit notes.</w:t>
      </w:r>
      <w:r>
        <w:rPr>
          <w:i/>
        </w:rPr>
        <w:t xml:space="preserve"> Also note whether a recommendation, suggestion, commendation or best practice is needed and if so, give an indication of what this should be.</w:t>
      </w:r>
      <w:r w:rsidRPr="00A77B9B">
        <w:rPr>
          <w:i/>
        </w:rPr>
        <w:t>]</w:t>
      </w:r>
    </w:p>
    <w:p w:rsidR="00D93415" w:rsidRPr="00D93415" w:rsidRDefault="00D93415" w:rsidP="00D93415">
      <w:pPr>
        <w:ind w:left="720"/>
      </w:pPr>
    </w:p>
    <w:p w:rsidR="00EB3CE2" w:rsidRPr="002D741A" w:rsidRDefault="00EB3CE2" w:rsidP="00017852">
      <w:pPr>
        <w:pStyle w:val="Heading5"/>
        <w:numPr>
          <w:ilvl w:val="0"/>
          <w:numId w:val="6"/>
        </w:numPr>
        <w:spacing w:before="200"/>
        <w:rPr>
          <w:rFonts w:cs="Arial"/>
        </w:rPr>
      </w:pPr>
      <w:r w:rsidRPr="002D741A">
        <w:rPr>
          <w:rFonts w:cs="Arial"/>
          <w:lang w:eastAsia="en-CA"/>
        </w:rPr>
        <w:t>Program Proposal</w:t>
      </w:r>
      <w:r w:rsidRPr="002D741A">
        <w:rPr>
          <w:rFonts w:cs="Arial"/>
        </w:rPr>
        <w:t>:</w:t>
      </w:r>
    </w:p>
    <w:p w:rsidR="000939F2" w:rsidRPr="000939F2" w:rsidRDefault="000939F2" w:rsidP="000939F2">
      <w:pPr>
        <w:ind w:left="720"/>
        <w:rPr>
          <w:i/>
        </w:rPr>
      </w:pPr>
      <w:r w:rsidRPr="000939F2">
        <w:rPr>
          <w:i/>
        </w:rPr>
        <w:t xml:space="preserve">[Note whether the program </w:t>
      </w:r>
      <w:r w:rsidR="00C337C6">
        <w:rPr>
          <w:i/>
        </w:rPr>
        <w:t>proposal</w:t>
      </w:r>
      <w:r w:rsidRPr="000939F2">
        <w:rPr>
          <w:i/>
        </w:rPr>
        <w:t xml:space="preserve"> was compliant / not compliant. For example, was there evidence of </w:t>
      </w:r>
      <w:r w:rsidR="00892D4A">
        <w:rPr>
          <w:i/>
        </w:rPr>
        <w:t>internal feedback on the evaluation criteria (see 20</w:t>
      </w:r>
      <w:r w:rsidR="00776FB1">
        <w:rPr>
          <w:i/>
        </w:rPr>
        <w:t>2</w:t>
      </w:r>
      <w:r w:rsidR="00892D4A">
        <w:rPr>
          <w:i/>
        </w:rPr>
        <w:t>1 QAF Section 2.1</w:t>
      </w:r>
      <w:r w:rsidR="00776FB1">
        <w:rPr>
          <w:i/>
        </w:rPr>
        <w:t>.1</w:t>
      </w:r>
      <w:r w:rsidR="00892D4A">
        <w:rPr>
          <w:i/>
        </w:rPr>
        <w:t>)?</w:t>
      </w:r>
      <w:r w:rsidRPr="000939F2">
        <w:rPr>
          <w:i/>
        </w:rPr>
        <w:t xml:space="preserve"> If not compliant, add applicable comments based on desk audit report section 2. a. and any applicable site visit notes. Also note whether a recommendation, suggestion, commendation or best practice is needed and if so, give an indication of what this should be.]</w:t>
      </w:r>
    </w:p>
    <w:p w:rsidR="000939F2" w:rsidRPr="00D93415" w:rsidRDefault="000939F2" w:rsidP="000939F2">
      <w:pPr>
        <w:ind w:left="720"/>
      </w:pPr>
    </w:p>
    <w:p w:rsidR="00EB3CE2" w:rsidRDefault="00EB3CE2" w:rsidP="00017852">
      <w:pPr>
        <w:pStyle w:val="Heading5"/>
        <w:numPr>
          <w:ilvl w:val="0"/>
          <w:numId w:val="6"/>
        </w:numPr>
        <w:spacing w:before="200"/>
        <w:rPr>
          <w:rFonts w:cs="Arial"/>
        </w:rPr>
      </w:pPr>
      <w:r w:rsidRPr="004E3709">
        <w:rPr>
          <w:rFonts w:cs="Arial"/>
          <w:lang w:eastAsia="en-CA"/>
        </w:rPr>
        <w:t>External</w:t>
      </w:r>
      <w:r w:rsidRPr="00C202EE">
        <w:rPr>
          <w:rFonts w:cs="Arial"/>
        </w:rPr>
        <w:t xml:space="preserve"> </w:t>
      </w:r>
      <w:r>
        <w:rPr>
          <w:rFonts w:cs="Arial"/>
        </w:rPr>
        <w:t>Evaluation</w:t>
      </w:r>
      <w:r w:rsidRPr="00C202EE">
        <w:rPr>
          <w:rFonts w:cs="Arial"/>
        </w:rPr>
        <w:t>:</w:t>
      </w:r>
    </w:p>
    <w:p w:rsidR="00EB3CE2" w:rsidRPr="002D741A" w:rsidRDefault="00EB3CE2" w:rsidP="00017852">
      <w:pPr>
        <w:pStyle w:val="ListParagraph"/>
        <w:numPr>
          <w:ilvl w:val="0"/>
          <w:numId w:val="7"/>
        </w:numPr>
        <w:spacing w:after="160" w:line="259" w:lineRule="auto"/>
        <w:ind w:left="1166"/>
        <w:rPr>
          <w:b/>
          <w:color w:val="0072BF" w:themeColor="accent1" w:themeShade="BF"/>
        </w:rPr>
      </w:pPr>
      <w:r w:rsidRPr="002D741A">
        <w:rPr>
          <w:b/>
          <w:color w:val="0072BF" w:themeColor="accent1" w:themeShade="BF"/>
        </w:rPr>
        <w:t>External Perspective</w:t>
      </w:r>
    </w:p>
    <w:p w:rsidR="00892D4A" w:rsidRPr="00892D4A" w:rsidRDefault="00892D4A" w:rsidP="00892D4A">
      <w:pPr>
        <w:ind w:left="1170"/>
        <w:rPr>
          <w:i/>
        </w:rPr>
      </w:pPr>
      <w:r w:rsidRPr="00892D4A">
        <w:rPr>
          <w:i/>
        </w:rPr>
        <w:t xml:space="preserve">[Note whether the </w:t>
      </w:r>
      <w:r w:rsidR="0036207F">
        <w:rPr>
          <w:i/>
        </w:rPr>
        <w:t>selection process of external reviewers</w:t>
      </w:r>
      <w:r w:rsidRPr="00892D4A">
        <w:rPr>
          <w:i/>
        </w:rPr>
        <w:t xml:space="preserve"> was compliant / not compliant. For example, </w:t>
      </w:r>
      <w:r w:rsidR="00A83A8F">
        <w:rPr>
          <w:i/>
        </w:rPr>
        <w:t xml:space="preserve">were the </w:t>
      </w:r>
      <w:r w:rsidR="00C1024B">
        <w:rPr>
          <w:i/>
        </w:rPr>
        <w:t xml:space="preserve">appropriate number of external reviewers </w:t>
      </w:r>
      <w:r w:rsidR="00C1024B">
        <w:rPr>
          <w:i/>
        </w:rPr>
        <w:lastRenderedPageBreak/>
        <w:t>appointed</w:t>
      </w:r>
      <w:r w:rsidR="00817CDB">
        <w:rPr>
          <w:i/>
        </w:rPr>
        <w:t xml:space="preserve"> and suitably qualified</w:t>
      </w:r>
      <w:r w:rsidR="00C1024B">
        <w:rPr>
          <w:i/>
        </w:rPr>
        <w:t xml:space="preserve">, as per </w:t>
      </w:r>
      <w:r w:rsidR="00467B6B">
        <w:rPr>
          <w:i/>
        </w:rPr>
        <w:t>20</w:t>
      </w:r>
      <w:r w:rsidR="00776FB1">
        <w:rPr>
          <w:i/>
        </w:rPr>
        <w:t>21</w:t>
      </w:r>
      <w:r w:rsidR="00467B6B">
        <w:rPr>
          <w:i/>
        </w:rPr>
        <w:t xml:space="preserve"> </w:t>
      </w:r>
      <w:r w:rsidR="00C1024B">
        <w:rPr>
          <w:i/>
        </w:rPr>
        <w:t xml:space="preserve">QAF </w:t>
      </w:r>
      <w:r w:rsidR="005237DB">
        <w:rPr>
          <w:i/>
        </w:rPr>
        <w:t>2.2.1</w:t>
      </w:r>
      <w:r w:rsidR="00C1024B">
        <w:rPr>
          <w:i/>
        </w:rPr>
        <w:t>? Were the reviewers confirmed as being at arm’s length?</w:t>
      </w:r>
      <w:r w:rsidR="00817CDB">
        <w:rPr>
          <w:i/>
        </w:rPr>
        <w:t xml:space="preserve"> Etc.</w:t>
      </w:r>
      <w:r w:rsidR="00C1024B">
        <w:rPr>
          <w:i/>
        </w:rPr>
        <w:t xml:space="preserve"> If the review was conducted virtually or by desk audit, etc., was there evidence that the external reviewer(s) agreed to this being the appropriate mode of review (NOTE: the QC allowed universities to determine the mode of review during the pandemic)</w:t>
      </w:r>
      <w:r w:rsidRPr="00892D4A">
        <w:rPr>
          <w:i/>
        </w:rPr>
        <w:t>? If not compliant, add applicable comments based on desk audit report section 2. a. and any applicable site visit notes. Also note whether a recommendation, suggestion, commendation or best practice is needed and if so, give an indication of what this should be.]</w:t>
      </w:r>
    </w:p>
    <w:p w:rsidR="00892D4A" w:rsidRPr="00D93415" w:rsidRDefault="00892D4A" w:rsidP="00892D4A">
      <w:pPr>
        <w:ind w:left="1170"/>
      </w:pPr>
    </w:p>
    <w:p w:rsidR="00EB3CE2" w:rsidRPr="002D741A" w:rsidRDefault="00EB3CE2" w:rsidP="00017852">
      <w:pPr>
        <w:pStyle w:val="ListParagraph"/>
        <w:numPr>
          <w:ilvl w:val="0"/>
          <w:numId w:val="7"/>
        </w:numPr>
        <w:spacing w:after="160" w:line="259" w:lineRule="auto"/>
        <w:ind w:left="1166"/>
        <w:rPr>
          <w:b/>
          <w:color w:val="0072BF" w:themeColor="accent1" w:themeShade="BF"/>
        </w:rPr>
      </w:pPr>
      <w:r w:rsidRPr="002D741A">
        <w:rPr>
          <w:b/>
          <w:color w:val="0072BF" w:themeColor="accent1" w:themeShade="BF"/>
        </w:rPr>
        <w:t>External Review Report</w:t>
      </w:r>
    </w:p>
    <w:p w:rsidR="00817CDB" w:rsidRPr="00817CDB" w:rsidRDefault="00817CDB" w:rsidP="00817CDB">
      <w:pPr>
        <w:ind w:left="1170"/>
        <w:rPr>
          <w:i/>
        </w:rPr>
      </w:pPr>
      <w:r w:rsidRPr="00817CDB">
        <w:rPr>
          <w:i/>
        </w:rPr>
        <w:t xml:space="preserve">[Note whether the </w:t>
      </w:r>
      <w:r w:rsidR="0036207F">
        <w:rPr>
          <w:i/>
        </w:rPr>
        <w:t>external reviewer(s) report</w:t>
      </w:r>
      <w:r w:rsidRPr="00817CDB">
        <w:rPr>
          <w:i/>
        </w:rPr>
        <w:t xml:space="preserve"> was compliant / not compliant. For example, were the appropriate number of external reviewers appointed and suitably qualified, as per </w:t>
      </w:r>
      <w:r w:rsidR="00467B6B">
        <w:rPr>
          <w:i/>
        </w:rPr>
        <w:t>2</w:t>
      </w:r>
      <w:r w:rsidR="005237DB">
        <w:rPr>
          <w:i/>
        </w:rPr>
        <w:t xml:space="preserve">021 </w:t>
      </w:r>
      <w:r w:rsidRPr="00817CDB">
        <w:rPr>
          <w:i/>
        </w:rPr>
        <w:t>QAF 2.2.</w:t>
      </w:r>
      <w:r w:rsidR="005237DB">
        <w:rPr>
          <w:i/>
        </w:rPr>
        <w:t>2</w:t>
      </w:r>
      <w:r w:rsidRPr="00817CDB">
        <w:rPr>
          <w:i/>
        </w:rPr>
        <w:t xml:space="preserve">? Were the reviewers confirmed as being at arm’s length? Etc. If the review was conducted virtually or by desk audit, etc., was there evidence that the external reviewer(s) agreed to this being the appropriate mode of review (NOTE: the QC allowed universities to determine the mode of review during the pandemic)? If not compliant, add applicable comments based on desk audit report section </w:t>
      </w:r>
      <w:r w:rsidR="00C41F12">
        <w:rPr>
          <w:i/>
        </w:rPr>
        <w:t>4</w:t>
      </w:r>
      <w:r w:rsidRPr="00817CDB">
        <w:rPr>
          <w:i/>
        </w:rPr>
        <w:t>. a.</w:t>
      </w:r>
      <w:r w:rsidR="00C41F12">
        <w:rPr>
          <w:i/>
        </w:rPr>
        <w:t xml:space="preserve"> and b.</w:t>
      </w:r>
      <w:r w:rsidRPr="00817CDB">
        <w:rPr>
          <w:i/>
        </w:rPr>
        <w:t xml:space="preserve"> and any applicable site visit notes. Also note whether a recommendation, suggestion, commendation or best practice is needed and if so, give an indication of what this should be.]</w:t>
      </w:r>
    </w:p>
    <w:p w:rsidR="00817CDB" w:rsidRPr="00D93415" w:rsidRDefault="00817CDB" w:rsidP="00817CDB">
      <w:pPr>
        <w:ind w:left="1170"/>
      </w:pPr>
    </w:p>
    <w:p w:rsidR="00EB3CE2" w:rsidRDefault="00EB3CE2" w:rsidP="00017852">
      <w:pPr>
        <w:pStyle w:val="Heading5"/>
        <w:numPr>
          <w:ilvl w:val="0"/>
          <w:numId w:val="6"/>
        </w:numPr>
        <w:spacing w:before="200"/>
        <w:rPr>
          <w:rFonts w:cs="Arial"/>
          <w:b w:val="0"/>
        </w:rPr>
      </w:pPr>
      <w:r w:rsidRPr="004E3709">
        <w:rPr>
          <w:rFonts w:cs="Arial"/>
          <w:lang w:eastAsia="en-CA"/>
        </w:rPr>
        <w:t>Internal</w:t>
      </w:r>
      <w:r w:rsidRPr="00C202EE">
        <w:rPr>
          <w:rFonts w:cs="Arial"/>
        </w:rPr>
        <w:t xml:space="preserve"> </w:t>
      </w:r>
      <w:r>
        <w:rPr>
          <w:rFonts w:cs="Arial"/>
        </w:rPr>
        <w:t>Perspective</w:t>
      </w:r>
      <w:r w:rsidRPr="00C202EE">
        <w:rPr>
          <w:rFonts w:cs="Arial"/>
        </w:rPr>
        <w:t>:</w:t>
      </w:r>
    </w:p>
    <w:p w:rsidR="00EB3CE2" w:rsidRPr="002D741A" w:rsidRDefault="00EB3CE2" w:rsidP="00017852">
      <w:pPr>
        <w:pStyle w:val="ListParagraph"/>
        <w:numPr>
          <w:ilvl w:val="0"/>
          <w:numId w:val="8"/>
        </w:numPr>
        <w:spacing w:after="160" w:line="259" w:lineRule="auto"/>
        <w:ind w:left="1170"/>
        <w:contextualSpacing/>
        <w:rPr>
          <w:b/>
          <w:color w:val="0072BF" w:themeColor="accent1" w:themeShade="BF"/>
        </w:rPr>
      </w:pPr>
      <w:r w:rsidRPr="002D741A">
        <w:rPr>
          <w:b/>
          <w:color w:val="0072BF" w:themeColor="accent1" w:themeShade="BF"/>
        </w:rPr>
        <w:t>Internal Response</w:t>
      </w:r>
    </w:p>
    <w:p w:rsidR="0036207F" w:rsidRPr="00817CDB" w:rsidRDefault="0036207F" w:rsidP="0036207F">
      <w:pPr>
        <w:ind w:left="1170"/>
        <w:rPr>
          <w:i/>
        </w:rPr>
      </w:pPr>
      <w:r w:rsidRPr="00817CDB">
        <w:rPr>
          <w:i/>
        </w:rPr>
        <w:t xml:space="preserve">[Note whether the </w:t>
      </w:r>
      <w:r w:rsidR="00C41F12">
        <w:rPr>
          <w:i/>
        </w:rPr>
        <w:t>internal response</w:t>
      </w:r>
      <w:r w:rsidRPr="00817CDB">
        <w:rPr>
          <w:i/>
        </w:rPr>
        <w:t xml:space="preserve"> was compliant / not compliant. For example, </w:t>
      </w:r>
      <w:r w:rsidR="00C41F12">
        <w:rPr>
          <w:i/>
        </w:rPr>
        <w:t>were there separate responses from the unit and the dean</w:t>
      </w:r>
      <w:r w:rsidRPr="00817CDB">
        <w:rPr>
          <w:i/>
        </w:rPr>
        <w:t>, as per</w:t>
      </w:r>
      <w:r w:rsidR="00467B6B">
        <w:rPr>
          <w:i/>
        </w:rPr>
        <w:t xml:space="preserve"> 20</w:t>
      </w:r>
      <w:r w:rsidR="005237DB">
        <w:rPr>
          <w:i/>
        </w:rPr>
        <w:t>21</w:t>
      </w:r>
      <w:r w:rsidRPr="00817CDB">
        <w:rPr>
          <w:i/>
        </w:rPr>
        <w:t xml:space="preserve"> QAF</w:t>
      </w:r>
      <w:r w:rsidR="00467B6B">
        <w:rPr>
          <w:i/>
        </w:rPr>
        <w:t xml:space="preserve"> Section</w:t>
      </w:r>
      <w:r w:rsidRPr="00817CDB">
        <w:rPr>
          <w:i/>
        </w:rPr>
        <w:t xml:space="preserve"> 2.</w:t>
      </w:r>
      <w:r w:rsidR="005237DB">
        <w:rPr>
          <w:i/>
        </w:rPr>
        <w:t>3.1</w:t>
      </w:r>
      <w:r w:rsidRPr="00817CDB">
        <w:rPr>
          <w:i/>
        </w:rPr>
        <w:t xml:space="preserve">? If not compliant, add applicable comments based on desk audit report section </w:t>
      </w:r>
      <w:r w:rsidR="00FC0CCA">
        <w:rPr>
          <w:i/>
        </w:rPr>
        <w:t>5</w:t>
      </w:r>
      <w:r w:rsidRPr="00817CDB">
        <w:rPr>
          <w:i/>
        </w:rPr>
        <w:t>. and any applicable site visit notes. Also note whether a recommendation, suggestion, commendation or best practice is needed and if so, give an indication of what this should be.]</w:t>
      </w:r>
    </w:p>
    <w:p w:rsidR="0036207F" w:rsidRPr="00D93415" w:rsidRDefault="0036207F" w:rsidP="0036207F">
      <w:pPr>
        <w:ind w:left="1170"/>
      </w:pPr>
    </w:p>
    <w:p w:rsidR="00EB3CE2" w:rsidRPr="00C202EE" w:rsidRDefault="00EB3CE2" w:rsidP="00017852">
      <w:pPr>
        <w:pStyle w:val="Heading5"/>
        <w:numPr>
          <w:ilvl w:val="0"/>
          <w:numId w:val="6"/>
        </w:numPr>
        <w:spacing w:before="200"/>
        <w:rPr>
          <w:rFonts w:cs="Arial"/>
          <w:b w:val="0"/>
        </w:rPr>
      </w:pPr>
      <w:r w:rsidRPr="004E3709">
        <w:rPr>
          <w:rFonts w:cs="Arial"/>
          <w:lang w:eastAsia="en-CA"/>
        </w:rPr>
        <w:t>Institutional</w:t>
      </w:r>
      <w:r w:rsidRPr="00C202EE">
        <w:rPr>
          <w:rFonts w:cs="Arial"/>
        </w:rPr>
        <w:t xml:space="preserve"> Approval:</w:t>
      </w:r>
    </w:p>
    <w:p w:rsidR="00FC0CCA" w:rsidRPr="00817CDB" w:rsidRDefault="00FC0CCA" w:rsidP="00FC0CCA">
      <w:pPr>
        <w:ind w:left="720"/>
        <w:rPr>
          <w:i/>
        </w:rPr>
      </w:pPr>
      <w:r w:rsidRPr="00817CDB">
        <w:rPr>
          <w:i/>
        </w:rPr>
        <w:t xml:space="preserve">[Note whether the </w:t>
      </w:r>
      <w:r>
        <w:rPr>
          <w:i/>
        </w:rPr>
        <w:t>institutional approval</w:t>
      </w:r>
      <w:r w:rsidRPr="00817CDB">
        <w:rPr>
          <w:i/>
        </w:rPr>
        <w:t xml:space="preserve"> was compliant / not compliant</w:t>
      </w:r>
      <w:r>
        <w:rPr>
          <w:i/>
        </w:rPr>
        <w:t xml:space="preserve">, as per </w:t>
      </w:r>
      <w:r w:rsidR="00467B6B">
        <w:rPr>
          <w:i/>
        </w:rPr>
        <w:t>Section 2.</w:t>
      </w:r>
      <w:r w:rsidR="005237DB">
        <w:rPr>
          <w:i/>
        </w:rPr>
        <w:t>4</w:t>
      </w:r>
      <w:r w:rsidR="00467B6B">
        <w:rPr>
          <w:i/>
        </w:rPr>
        <w:t xml:space="preserve"> of the 20</w:t>
      </w:r>
      <w:r w:rsidR="005237DB">
        <w:rPr>
          <w:i/>
        </w:rPr>
        <w:t>21</w:t>
      </w:r>
      <w:r w:rsidR="00467B6B">
        <w:rPr>
          <w:i/>
        </w:rPr>
        <w:t xml:space="preserve"> QAF and </w:t>
      </w:r>
      <w:r>
        <w:rPr>
          <w:i/>
        </w:rPr>
        <w:t>the steps outlined in the IQAP.</w:t>
      </w:r>
      <w:r w:rsidRPr="00817CDB">
        <w:rPr>
          <w:i/>
        </w:rPr>
        <w:t xml:space="preserve"> If not compliant, add applicable comments based on desk audit report section </w:t>
      </w:r>
      <w:r w:rsidR="00106B3F">
        <w:rPr>
          <w:i/>
        </w:rPr>
        <w:t>6</w:t>
      </w:r>
      <w:r w:rsidRPr="00817CDB">
        <w:rPr>
          <w:i/>
        </w:rPr>
        <w:t>. and any applicable site visit notes. Also note whether a recommendation, suggestion, commendation or best practice is needed and if so, give an indication of what this should be.]</w:t>
      </w:r>
    </w:p>
    <w:p w:rsidR="00FC0CCA" w:rsidRPr="00D93415" w:rsidRDefault="00FC0CCA" w:rsidP="00FC0CCA">
      <w:pPr>
        <w:ind w:left="720"/>
      </w:pPr>
    </w:p>
    <w:p w:rsidR="00EB3CE2" w:rsidRPr="00C202EE" w:rsidRDefault="00EB3CE2" w:rsidP="00017852">
      <w:pPr>
        <w:pStyle w:val="Heading5"/>
        <w:numPr>
          <w:ilvl w:val="0"/>
          <w:numId w:val="6"/>
        </w:numPr>
        <w:spacing w:before="200"/>
        <w:rPr>
          <w:rFonts w:cs="Arial"/>
          <w:b w:val="0"/>
        </w:rPr>
      </w:pPr>
      <w:r w:rsidRPr="004E3709">
        <w:rPr>
          <w:rFonts w:cs="Arial"/>
          <w:lang w:eastAsia="en-CA"/>
        </w:rPr>
        <w:lastRenderedPageBreak/>
        <w:t>Initial</w:t>
      </w:r>
      <w:r w:rsidRPr="00C202EE">
        <w:rPr>
          <w:rFonts w:cs="Arial"/>
        </w:rPr>
        <w:t xml:space="preserve"> Appraisal Process:</w:t>
      </w:r>
    </w:p>
    <w:p w:rsidR="00FC0CCA" w:rsidRPr="00FC0CCA" w:rsidRDefault="00FC0CCA" w:rsidP="00FC0CCA">
      <w:pPr>
        <w:ind w:left="720"/>
        <w:rPr>
          <w:i/>
        </w:rPr>
      </w:pPr>
      <w:r w:rsidRPr="00FC0CCA">
        <w:rPr>
          <w:i/>
        </w:rPr>
        <w:t xml:space="preserve">[Note whether the </w:t>
      </w:r>
      <w:r>
        <w:rPr>
          <w:i/>
        </w:rPr>
        <w:t>initial appraisal process</w:t>
      </w:r>
      <w:r w:rsidRPr="00FC0CCA">
        <w:rPr>
          <w:i/>
        </w:rPr>
        <w:t xml:space="preserve"> was compliant / not compliant, as per</w:t>
      </w:r>
      <w:r w:rsidR="00467B6B">
        <w:rPr>
          <w:i/>
        </w:rPr>
        <w:t xml:space="preserve"> 20</w:t>
      </w:r>
      <w:r w:rsidR="005237DB">
        <w:rPr>
          <w:i/>
        </w:rPr>
        <w:t>21</w:t>
      </w:r>
      <w:r w:rsidR="00467B6B">
        <w:rPr>
          <w:i/>
        </w:rPr>
        <w:t xml:space="preserve"> QAF 2.</w:t>
      </w:r>
      <w:r w:rsidR="00D825D2">
        <w:rPr>
          <w:i/>
        </w:rPr>
        <w:t>6</w:t>
      </w:r>
      <w:r w:rsidR="00467B6B">
        <w:rPr>
          <w:i/>
        </w:rPr>
        <w:t xml:space="preserve"> and</w:t>
      </w:r>
      <w:r w:rsidRPr="00FC0CCA">
        <w:rPr>
          <w:i/>
        </w:rPr>
        <w:t xml:space="preserve"> the steps outlined in the IQAP. If not compliant, add applicable comments based on desk audit report section </w:t>
      </w:r>
      <w:r w:rsidR="00106B3F">
        <w:rPr>
          <w:i/>
        </w:rPr>
        <w:t>7</w:t>
      </w:r>
      <w:r w:rsidRPr="00FC0CCA">
        <w:rPr>
          <w:i/>
        </w:rPr>
        <w:t>. and any applicable site visit notes. Also note whether a recommendation, suggestion, commendation or best practice is needed and if so, give an indication of what this should be.]</w:t>
      </w:r>
    </w:p>
    <w:p w:rsidR="00FC0CCA" w:rsidRPr="00D93415" w:rsidRDefault="00FC0CCA" w:rsidP="00FC0CCA">
      <w:pPr>
        <w:ind w:left="720"/>
      </w:pPr>
    </w:p>
    <w:p w:rsidR="00EB3CE2" w:rsidRDefault="00EB3CE2" w:rsidP="00017852">
      <w:pPr>
        <w:pStyle w:val="Heading5"/>
        <w:numPr>
          <w:ilvl w:val="0"/>
          <w:numId w:val="6"/>
        </w:numPr>
        <w:spacing w:before="200"/>
        <w:rPr>
          <w:rFonts w:cs="Arial"/>
          <w:b w:val="0"/>
        </w:rPr>
      </w:pPr>
      <w:r w:rsidRPr="004E3709">
        <w:rPr>
          <w:rFonts w:cs="Arial"/>
          <w:lang w:eastAsia="en-CA"/>
        </w:rPr>
        <w:t>Subsequent</w:t>
      </w:r>
      <w:r>
        <w:rPr>
          <w:rFonts w:cs="Arial"/>
        </w:rPr>
        <w:t xml:space="preserve"> Appraisal Process:</w:t>
      </w:r>
    </w:p>
    <w:p w:rsidR="00106B3F" w:rsidRPr="00106B3F" w:rsidRDefault="00106B3F" w:rsidP="00106B3F">
      <w:pPr>
        <w:ind w:left="720"/>
        <w:rPr>
          <w:i/>
        </w:rPr>
      </w:pPr>
      <w:r w:rsidRPr="00106B3F">
        <w:rPr>
          <w:i/>
        </w:rPr>
        <w:t xml:space="preserve">[Note whether the </w:t>
      </w:r>
      <w:r>
        <w:rPr>
          <w:i/>
        </w:rPr>
        <w:t>subsequent appraisal process</w:t>
      </w:r>
      <w:r w:rsidRPr="00106B3F">
        <w:rPr>
          <w:i/>
        </w:rPr>
        <w:t xml:space="preserve"> was compliant / not compliant</w:t>
      </w:r>
      <w:r w:rsidR="00467B6B">
        <w:rPr>
          <w:i/>
        </w:rPr>
        <w:t>, as per 20</w:t>
      </w:r>
      <w:r w:rsidR="00D825D2">
        <w:rPr>
          <w:i/>
        </w:rPr>
        <w:t>21</w:t>
      </w:r>
      <w:r w:rsidR="00467B6B">
        <w:rPr>
          <w:i/>
        </w:rPr>
        <w:t xml:space="preserve"> QAF </w:t>
      </w:r>
      <w:r w:rsidR="001C202F">
        <w:rPr>
          <w:i/>
        </w:rPr>
        <w:t>2.8</w:t>
      </w:r>
      <w:r>
        <w:rPr>
          <w:i/>
        </w:rPr>
        <w:t>. If a report was required by the Quality Council, was this submitted on time? Did the Appraisal Committee have any follow-up questions and if so, were these responded to in a timely manner?</w:t>
      </w:r>
      <w:r w:rsidR="008D6503">
        <w:rPr>
          <w:i/>
        </w:rPr>
        <w:t xml:space="preserve"> Etc.</w:t>
      </w:r>
      <w:r w:rsidRPr="00106B3F">
        <w:rPr>
          <w:i/>
        </w:rPr>
        <w:t xml:space="preserve"> If not compliant, add applicable comments based on desk audit report section </w:t>
      </w:r>
      <w:r w:rsidR="008D6503">
        <w:rPr>
          <w:i/>
        </w:rPr>
        <w:t>8</w:t>
      </w:r>
      <w:r w:rsidRPr="00106B3F">
        <w:rPr>
          <w:i/>
        </w:rPr>
        <w:t>. and any applicable site visit notes. Also note whether a recommendation, suggestion, commendation or best practice is needed and if so, give an indication of what this should be.]</w:t>
      </w:r>
    </w:p>
    <w:p w:rsidR="00106B3F" w:rsidRPr="00D93415" w:rsidRDefault="00106B3F" w:rsidP="00106B3F">
      <w:pPr>
        <w:ind w:left="720"/>
      </w:pPr>
    </w:p>
    <w:p w:rsidR="00EB3CE2" w:rsidRPr="00C202EE" w:rsidRDefault="00EB3CE2" w:rsidP="00017852">
      <w:pPr>
        <w:pStyle w:val="Heading5"/>
        <w:numPr>
          <w:ilvl w:val="0"/>
          <w:numId w:val="6"/>
        </w:numPr>
        <w:spacing w:before="200"/>
        <w:rPr>
          <w:rFonts w:cs="Arial"/>
          <w:b w:val="0"/>
        </w:rPr>
      </w:pPr>
      <w:r w:rsidRPr="00C202EE">
        <w:rPr>
          <w:rFonts w:cs="Arial"/>
        </w:rPr>
        <w:t>Subsequent Institutional Process:</w:t>
      </w:r>
    </w:p>
    <w:p w:rsidR="00074555" w:rsidRDefault="00074555" w:rsidP="00017852">
      <w:pPr>
        <w:pStyle w:val="Heading5"/>
        <w:numPr>
          <w:ilvl w:val="0"/>
          <w:numId w:val="9"/>
        </w:numPr>
        <w:spacing w:before="200"/>
        <w:ind w:left="1260"/>
        <w:rPr>
          <w:rFonts w:cs="Arial"/>
          <w:b w:val="0"/>
        </w:rPr>
      </w:pPr>
      <w:r>
        <w:rPr>
          <w:rFonts w:cs="Arial"/>
        </w:rPr>
        <w:t>First Cyclical Review</w:t>
      </w:r>
    </w:p>
    <w:p w:rsidR="00074555" w:rsidRPr="00074555" w:rsidRDefault="00074555" w:rsidP="00074555">
      <w:pPr>
        <w:ind w:left="1260"/>
        <w:rPr>
          <w:i/>
        </w:rPr>
      </w:pPr>
      <w:r w:rsidRPr="00074555">
        <w:rPr>
          <w:i/>
        </w:rPr>
        <w:t>[</w:t>
      </w:r>
      <w:r w:rsidRPr="008D6503">
        <w:t>Note</w:t>
      </w:r>
      <w:r w:rsidRPr="00074555">
        <w:rPr>
          <w:i/>
        </w:rPr>
        <w:t xml:space="preserve"> whether </w:t>
      </w:r>
      <w:r>
        <w:rPr>
          <w:i/>
        </w:rPr>
        <w:t>this step</w:t>
      </w:r>
      <w:r w:rsidRPr="00074555">
        <w:rPr>
          <w:i/>
        </w:rPr>
        <w:t xml:space="preserve"> was compliant / not compliant, as per 20</w:t>
      </w:r>
      <w:r w:rsidR="001C202F">
        <w:rPr>
          <w:i/>
        </w:rPr>
        <w:t>21</w:t>
      </w:r>
      <w:r w:rsidRPr="00074555">
        <w:rPr>
          <w:i/>
        </w:rPr>
        <w:t xml:space="preserve"> QAF 2.</w:t>
      </w:r>
      <w:r w:rsidR="001C202F">
        <w:rPr>
          <w:i/>
        </w:rPr>
        <w:t>9.3</w:t>
      </w:r>
      <w:r w:rsidRPr="00074555">
        <w:rPr>
          <w:i/>
        </w:rPr>
        <w:t xml:space="preserve"> and the university’s IQAP? </w:t>
      </w:r>
      <w:r>
        <w:rPr>
          <w:i/>
        </w:rPr>
        <w:t xml:space="preserve">For example, has it been scheduled for no more than eight years after the date of the program’s first enrolment? </w:t>
      </w:r>
      <w:r w:rsidR="009F44BA">
        <w:rPr>
          <w:i/>
        </w:rPr>
        <w:t xml:space="preserve">And is there a process to ensure any notes from the Appraisal Committee for the program’s first CPR have been centrally recorded? </w:t>
      </w:r>
      <w:r w:rsidRPr="00074555">
        <w:rPr>
          <w:i/>
        </w:rPr>
        <w:t xml:space="preserve">If not compliant, add applicable comments based on desk audit report section 9 </w:t>
      </w:r>
      <w:r>
        <w:rPr>
          <w:i/>
        </w:rPr>
        <w:t>ii</w:t>
      </w:r>
      <w:r w:rsidRPr="00074555">
        <w:rPr>
          <w:i/>
        </w:rPr>
        <w:t>.</w:t>
      </w:r>
      <w:r w:rsidR="009F44BA">
        <w:rPr>
          <w:i/>
        </w:rPr>
        <w:t xml:space="preserve"> and iii.</w:t>
      </w:r>
      <w:r w:rsidRPr="00074555">
        <w:rPr>
          <w:i/>
        </w:rPr>
        <w:t xml:space="preserve"> and any applicable site visit notes. Also note whether a recommendation, suggestion, commendation or best practice is needed and if so, give an indication of what this should be.]</w:t>
      </w:r>
    </w:p>
    <w:p w:rsidR="00074555" w:rsidRDefault="00074555" w:rsidP="00074555">
      <w:pPr>
        <w:ind w:left="1260"/>
      </w:pPr>
    </w:p>
    <w:p w:rsidR="00EB3CE2" w:rsidRPr="0068789C" w:rsidRDefault="00EB3CE2" w:rsidP="00017852">
      <w:pPr>
        <w:pStyle w:val="Heading5"/>
        <w:numPr>
          <w:ilvl w:val="0"/>
          <w:numId w:val="9"/>
        </w:numPr>
        <w:spacing w:before="200"/>
        <w:ind w:left="1260"/>
        <w:rPr>
          <w:rFonts w:cs="Arial"/>
          <w:b w:val="0"/>
        </w:rPr>
      </w:pPr>
      <w:r w:rsidRPr="0068789C">
        <w:rPr>
          <w:rFonts w:cs="Arial"/>
        </w:rPr>
        <w:t>Implementation Window</w:t>
      </w:r>
    </w:p>
    <w:p w:rsidR="008D6503" w:rsidRDefault="008D6503" w:rsidP="008D6503">
      <w:pPr>
        <w:ind w:left="1260"/>
        <w:rPr>
          <w:i/>
        </w:rPr>
      </w:pPr>
      <w:r w:rsidRPr="008D6503">
        <w:rPr>
          <w:i/>
        </w:rPr>
        <w:t>[</w:t>
      </w:r>
      <w:r w:rsidRPr="008D6503">
        <w:t>Note</w:t>
      </w:r>
      <w:r w:rsidRPr="008D6503">
        <w:rPr>
          <w:i/>
        </w:rPr>
        <w:t xml:space="preserve"> whether the </w:t>
      </w:r>
      <w:r>
        <w:rPr>
          <w:i/>
        </w:rPr>
        <w:t>implementation window</w:t>
      </w:r>
      <w:r w:rsidRPr="008D6503">
        <w:rPr>
          <w:i/>
        </w:rPr>
        <w:t xml:space="preserve"> was compliant / not compliant. </w:t>
      </w:r>
      <w:r>
        <w:rPr>
          <w:i/>
        </w:rPr>
        <w:t>For example, did the program launch within 36 months of the Quality Council’s approval, as per 2</w:t>
      </w:r>
      <w:r w:rsidR="001C202F">
        <w:rPr>
          <w:i/>
        </w:rPr>
        <w:t>021</w:t>
      </w:r>
      <w:r>
        <w:rPr>
          <w:i/>
        </w:rPr>
        <w:t xml:space="preserve"> QAF 2.</w:t>
      </w:r>
      <w:r w:rsidR="001C202F">
        <w:rPr>
          <w:i/>
        </w:rPr>
        <w:t>9.1</w:t>
      </w:r>
      <w:r>
        <w:rPr>
          <w:i/>
        </w:rPr>
        <w:t>?</w:t>
      </w:r>
      <w:r w:rsidRPr="008D6503">
        <w:rPr>
          <w:i/>
        </w:rPr>
        <w:t xml:space="preserve"> If not compliant, add applicable comments based on desk audit report section </w:t>
      </w:r>
      <w:r>
        <w:rPr>
          <w:i/>
        </w:rPr>
        <w:t xml:space="preserve">9 </w:t>
      </w:r>
      <w:proofErr w:type="spellStart"/>
      <w:r>
        <w:rPr>
          <w:i/>
        </w:rPr>
        <w:t>i</w:t>
      </w:r>
      <w:proofErr w:type="spellEnd"/>
      <w:r>
        <w:rPr>
          <w:i/>
        </w:rPr>
        <w:t>.</w:t>
      </w:r>
      <w:r w:rsidRPr="008D6503">
        <w:rPr>
          <w:i/>
        </w:rPr>
        <w:t xml:space="preserve"> and any applicable site visit notes. Also note whether a recommendation, suggestion, commendation or best practice is needed and if so, give an indication of what this should be.]</w:t>
      </w:r>
    </w:p>
    <w:p w:rsidR="004B2608" w:rsidRDefault="004B2608" w:rsidP="008D6503">
      <w:pPr>
        <w:ind w:left="1260"/>
      </w:pPr>
    </w:p>
    <w:p w:rsidR="004B2608" w:rsidRDefault="004B2608" w:rsidP="00017852">
      <w:pPr>
        <w:pStyle w:val="Heading5"/>
        <w:numPr>
          <w:ilvl w:val="0"/>
          <w:numId w:val="9"/>
        </w:numPr>
        <w:spacing w:before="200"/>
        <w:ind w:left="1260"/>
        <w:rPr>
          <w:rFonts w:cs="Arial"/>
          <w:b w:val="0"/>
        </w:rPr>
      </w:pPr>
      <w:r w:rsidRPr="00636937">
        <w:rPr>
          <w:rFonts w:cs="Arial"/>
        </w:rPr>
        <w:t>Monitoring</w:t>
      </w:r>
    </w:p>
    <w:p w:rsidR="008B3350" w:rsidRPr="008B3350" w:rsidRDefault="008B3350" w:rsidP="008B3350">
      <w:pPr>
        <w:ind w:left="1260"/>
        <w:rPr>
          <w:i/>
        </w:rPr>
      </w:pPr>
      <w:r w:rsidRPr="008B3350">
        <w:rPr>
          <w:i/>
        </w:rPr>
        <w:t>[</w:t>
      </w:r>
      <w:r w:rsidRPr="008D6503">
        <w:t>Note</w:t>
      </w:r>
      <w:r w:rsidRPr="008B3350">
        <w:rPr>
          <w:i/>
        </w:rPr>
        <w:t xml:space="preserve"> whether the </w:t>
      </w:r>
      <w:r>
        <w:rPr>
          <w:i/>
        </w:rPr>
        <w:t>monitoring process for the new program</w:t>
      </w:r>
      <w:r w:rsidRPr="008B3350">
        <w:rPr>
          <w:i/>
        </w:rPr>
        <w:t xml:space="preserve"> was compliant / not compliant, as per 20</w:t>
      </w:r>
      <w:r w:rsidR="001C202F">
        <w:rPr>
          <w:i/>
        </w:rPr>
        <w:t>21</w:t>
      </w:r>
      <w:r w:rsidRPr="008B3350">
        <w:rPr>
          <w:i/>
        </w:rPr>
        <w:t xml:space="preserve"> QAF 2.</w:t>
      </w:r>
      <w:r w:rsidR="001C202F">
        <w:rPr>
          <w:i/>
        </w:rPr>
        <w:t>9.2</w:t>
      </w:r>
      <w:r>
        <w:rPr>
          <w:i/>
        </w:rPr>
        <w:t xml:space="preserve"> and the university’s IQAP</w:t>
      </w:r>
      <w:r w:rsidRPr="008B3350">
        <w:rPr>
          <w:i/>
        </w:rPr>
        <w:t xml:space="preserve">? If not compliant, add </w:t>
      </w:r>
      <w:r w:rsidRPr="008B3350">
        <w:rPr>
          <w:i/>
        </w:rPr>
        <w:lastRenderedPageBreak/>
        <w:t xml:space="preserve">applicable comments based on desk audit report section 9 </w:t>
      </w:r>
      <w:r w:rsidR="009F44BA">
        <w:rPr>
          <w:i/>
        </w:rPr>
        <w:t>v</w:t>
      </w:r>
      <w:r w:rsidRPr="008B3350">
        <w:rPr>
          <w:i/>
        </w:rPr>
        <w:t>. and any applicable site visit notes. Also note whether a recommendation, suggestion, commendation or best practice is needed and if so, give an indication of what this should be.]</w:t>
      </w:r>
    </w:p>
    <w:p w:rsidR="008B3350" w:rsidRDefault="008B3350" w:rsidP="008B3350">
      <w:pPr>
        <w:ind w:left="1260"/>
      </w:pPr>
    </w:p>
    <w:p w:rsidR="0088519E" w:rsidRDefault="0088519E" w:rsidP="00EB3CE2">
      <w:pPr>
        <w:rPr>
          <w:i/>
        </w:rPr>
        <w:sectPr w:rsidR="0088519E">
          <w:footerReference w:type="default" r:id="rId10"/>
          <w:pgSz w:w="12240" w:h="15840"/>
          <w:pgMar w:top="1440" w:right="1440" w:bottom="1440" w:left="1440" w:header="720" w:footer="720" w:gutter="0"/>
          <w:cols w:space="720"/>
          <w:docGrid w:linePitch="360"/>
        </w:sectPr>
      </w:pPr>
    </w:p>
    <w:p w:rsidR="00EB3CE2" w:rsidRPr="00F236DC" w:rsidRDefault="00EB3CE2" w:rsidP="00EB3CE2">
      <w:pPr>
        <w:rPr>
          <w:i/>
        </w:rPr>
      </w:pPr>
    </w:p>
    <w:p w:rsidR="001C202F" w:rsidRDefault="0088519E" w:rsidP="001C202F">
      <w:pPr>
        <w:pStyle w:val="Heading1-pagebreak"/>
      </w:pPr>
      <w:bookmarkStart w:id="3" w:name="_Toc258335400"/>
      <w:r>
        <w:lastRenderedPageBreak/>
        <w:t>2.</w:t>
      </w:r>
      <w:r>
        <w:tab/>
      </w:r>
      <w:bookmarkStart w:id="4" w:name="ProtocolNewPrograms"/>
      <w:bookmarkStart w:id="5" w:name="_Toc65486273"/>
      <w:r w:rsidR="001C202F" w:rsidRPr="00843BCD">
        <w:t xml:space="preserve">Protocol </w:t>
      </w:r>
      <w:r w:rsidR="001C202F" w:rsidRPr="00B871BB">
        <w:t>for</w:t>
      </w:r>
      <w:r w:rsidR="001C202F" w:rsidRPr="00843BCD">
        <w:t xml:space="preserve"> </w:t>
      </w:r>
      <w:r w:rsidR="001C202F" w:rsidRPr="00735902">
        <w:t>New</w:t>
      </w:r>
      <w:r w:rsidR="001C202F" w:rsidRPr="00843BCD">
        <w:t xml:space="preserve"> </w:t>
      </w:r>
      <w:r w:rsidR="001C202F" w:rsidRPr="00C070FE">
        <w:t>Program</w:t>
      </w:r>
      <w:r w:rsidR="001C202F" w:rsidRPr="00843BCD">
        <w:t xml:space="preserve"> </w:t>
      </w:r>
      <w:r w:rsidR="001C202F" w:rsidRPr="001259A8">
        <w:t>Approvals</w:t>
      </w:r>
      <w:bookmarkEnd w:id="4"/>
      <w:bookmarkEnd w:id="5"/>
    </w:p>
    <w:p w:rsidR="001C202F" w:rsidRPr="002F4FA8" w:rsidRDefault="001C202F" w:rsidP="001C202F">
      <w:pPr>
        <w:pStyle w:val="Body"/>
        <w:rPr>
          <w:lang w:val="en-US"/>
        </w:rPr>
      </w:pPr>
      <w:r w:rsidRPr="002F4FA8">
        <w:rPr>
          <w:lang w:val="en-US"/>
        </w:rPr>
        <w:t xml:space="preserve">Ontario’s universities are committed to delivering high quality programs at all levels – undergraduate and graduate – and therefore, they have committed to a process to ensure their quality and continuous improvement, from inception. The degree of </w:t>
      </w:r>
      <w:proofErr w:type="spellStart"/>
      <w:r w:rsidRPr="002F4FA8">
        <w:rPr>
          <w:lang w:val="en-US"/>
        </w:rPr>
        <w:t>rigo</w:t>
      </w:r>
      <w:bookmarkStart w:id="6" w:name="_GoBack"/>
      <w:bookmarkEnd w:id="6"/>
      <w:r w:rsidRPr="002F4FA8">
        <w:rPr>
          <w:lang w:val="en-US"/>
        </w:rPr>
        <w:t>ur</w:t>
      </w:r>
      <w:proofErr w:type="spellEnd"/>
      <w:r w:rsidRPr="002F4FA8">
        <w:rPr>
          <w:lang w:val="en-US"/>
        </w:rPr>
        <w:t xml:space="preserve"> established throughout the Protocol for New Program Approvals plays an essential role in ensuring that new programs are developed using internationally accepted practices and that the value of that new program is sustained. Further, the Degree Level Expectations (see </w:t>
      </w:r>
      <w:hyperlink w:anchor="Appendix2DLEs" w:history="1">
        <w:r w:rsidRPr="002F4FA8">
          <w:rPr>
            <w:rStyle w:val="Hyperlink"/>
            <w:lang w:val="en-US"/>
          </w:rPr>
          <w:t>Appendix 2</w:t>
        </w:r>
      </w:hyperlink>
      <w:r w:rsidRPr="002F4FA8">
        <w:rPr>
          <w:lang w:val="en-US"/>
        </w:rPr>
        <w:t xml:space="preserve">) are the Quality Assurance Framework’s link to the </w:t>
      </w:r>
      <w:hyperlink r:id="rId11" w:history="1">
        <w:r w:rsidRPr="002F4FA8">
          <w:rPr>
            <w:rStyle w:val="Hyperlink"/>
            <w:lang w:val="en-US"/>
          </w:rPr>
          <w:t>OQF</w:t>
        </w:r>
      </w:hyperlink>
      <w:r w:rsidRPr="002F4FA8">
        <w:rPr>
          <w:lang w:val="en-US"/>
        </w:rPr>
        <w:t>, which identifies the main purposes of each postsecondary qualification, outlines the learning expectations for graduates who hold each type of qualification and shows the relationship between the different qualifications.</w:t>
      </w:r>
    </w:p>
    <w:p w:rsidR="001C202F" w:rsidRPr="002F4FA8" w:rsidRDefault="001C202F" w:rsidP="001C202F">
      <w:pPr>
        <w:pStyle w:val="Body"/>
        <w:rPr>
          <w:lang w:val="en-US"/>
        </w:rPr>
      </w:pPr>
      <w:r w:rsidRPr="002F4FA8">
        <w:rPr>
          <w:lang w:val="en-US"/>
        </w:rPr>
        <w:t xml:space="preserve">The Protocol for New Program Approvals details the quality assurance processes and consent steps required to develop and approve a new degree program. Universities take considerable care in developing new programs. Each IQAP (see </w:t>
      </w:r>
      <w:hyperlink w:anchor="Section1x1" w:history="1">
        <w:r w:rsidRPr="002F4FA8">
          <w:rPr>
            <w:rStyle w:val="Hyperlink"/>
            <w:lang w:val="en-US"/>
          </w:rPr>
          <w:t>Section 1.1</w:t>
        </w:r>
      </w:hyperlink>
      <w:r w:rsidRPr="002F4FA8">
        <w:rPr>
          <w:lang w:val="en-US"/>
        </w:rPr>
        <w:t xml:space="preserve">) is the local expression of this Protocol and details the steps to be taken for the preparation, external review and approval of a New Program Proposal, as well as the important mechanisms for monitoring and continuous improvement (see </w:t>
      </w:r>
      <w:hyperlink w:anchor="Principle13" w:history="1">
        <w:r w:rsidRPr="002F4FA8">
          <w:rPr>
            <w:rStyle w:val="Hyperlink"/>
            <w:lang w:val="en-US"/>
          </w:rPr>
          <w:t>Principle 13</w:t>
        </w:r>
      </w:hyperlink>
      <w:r w:rsidRPr="002F4FA8">
        <w:rPr>
          <w:lang w:val="en-US"/>
        </w:rPr>
        <w:t xml:space="preserve">) once the new program is running (see </w:t>
      </w:r>
      <w:hyperlink w:anchor="Section2x9x2Monitoring" w:history="1">
        <w:r w:rsidRPr="002F4FA8">
          <w:rPr>
            <w:rStyle w:val="Hyperlink"/>
            <w:lang w:val="en-US"/>
          </w:rPr>
          <w:t>Section 2.9.2</w:t>
        </w:r>
      </w:hyperlink>
      <w:r w:rsidRPr="002F4FA8">
        <w:rPr>
          <w:lang w:val="en-US"/>
        </w:rPr>
        <w:t>).</w:t>
      </w:r>
    </w:p>
    <w:p w:rsidR="001C202F" w:rsidRPr="0056558A" w:rsidRDefault="001C202F" w:rsidP="001C202F">
      <w:pPr>
        <w:pStyle w:val="Heading2-exclTOC"/>
      </w:pPr>
      <w:bookmarkStart w:id="7" w:name="_Toc79397391"/>
      <w:r w:rsidRPr="0056558A">
        <w:t>Objectives</w:t>
      </w:r>
      <w:bookmarkEnd w:id="7"/>
    </w:p>
    <w:p w:rsidR="001C202F" w:rsidRDefault="001C202F" w:rsidP="001C202F">
      <w:pPr>
        <w:pStyle w:val="Body"/>
      </w:pPr>
      <w:r>
        <w:t>The Protocol is designed to ensure that in developing new programs, universities ensure that the educational experiences offered to students are engaging and rigorous, and that the approved programs through which those experiences are provided are routinely monitored and, if necessary, revised. Continuous improvement of those facets of education that most directly impact the academic experiences of Ontario students is fundamental to quality assurance and, thus, an important objective of this Protocol is to ensure that the universities’ IQAPs include sufficient monitoring plans for new programs to ensure continuous improvement.</w:t>
      </w:r>
    </w:p>
    <w:p w:rsidR="001C202F" w:rsidRDefault="001C202F" w:rsidP="001C202F">
      <w:pPr>
        <w:pStyle w:val="Heading2-exclTOC"/>
      </w:pPr>
      <w:bookmarkStart w:id="8" w:name="_Toc79397392"/>
      <w:r w:rsidRPr="00843BCD">
        <w:t>Scope</w:t>
      </w:r>
      <w:bookmarkEnd w:id="8"/>
    </w:p>
    <w:p w:rsidR="001C202F" w:rsidRDefault="001C202F" w:rsidP="001C202F">
      <w:pPr>
        <w:pStyle w:val="Body"/>
      </w:pPr>
      <w:r>
        <w:t>The Protocol for New Program Approvals applies to both new undergraduate and new graduate programs (but not to new for-credit graduate diplomas, which go through the Protocol for Expedited Approval) whether offered by one institution or jointly with another institution.</w:t>
      </w:r>
    </w:p>
    <w:p w:rsidR="001C202F" w:rsidRDefault="001C202F" w:rsidP="001C202F">
      <w:pPr>
        <w:pStyle w:val="Body"/>
        <w:spacing w:before="240"/>
      </w:pPr>
      <w:r>
        <w:t xml:space="preserve">In developing a new joint program and other inter-institutional programs, the IQAPs of all the participating universities granting the degree should be followed. See </w:t>
      </w:r>
      <w:hyperlink r:id="rId12" w:history="1">
        <w:r w:rsidRPr="00393FFC">
          <w:rPr>
            <w:rStyle w:val="Hyperlink"/>
          </w:rPr>
          <w:t>Guidance</w:t>
        </w:r>
      </w:hyperlink>
      <w:r>
        <w:t xml:space="preserve"> for important elements to consider in developing and approving these joint programs and in subsequent Cyclical reviews (See </w:t>
      </w:r>
      <w:hyperlink w:anchor="Principles" w:history="1">
        <w:r w:rsidRPr="00D66FFB">
          <w:rPr>
            <w:rStyle w:val="Hyperlink"/>
          </w:rPr>
          <w:t>Principles</w:t>
        </w:r>
      </w:hyperlink>
      <w:r>
        <w:t xml:space="preserve"> 1 </w:t>
      </w:r>
      <w:r>
        <w:softHyphen/>
        <w:t xml:space="preserve"> 5 and 7 </w:t>
      </w:r>
      <w:r>
        <w:softHyphen/>
        <w:t xml:space="preserve"> 15). </w:t>
      </w:r>
    </w:p>
    <w:p w:rsidR="001C202F" w:rsidRDefault="001C202F" w:rsidP="001C202F">
      <w:pPr>
        <w:pStyle w:val="Heading2-exclTOC"/>
      </w:pPr>
      <w:bookmarkStart w:id="9" w:name="_Toc79397393"/>
      <w:r>
        <w:t>Process</w:t>
      </w:r>
      <w:bookmarkEnd w:id="9"/>
    </w:p>
    <w:p w:rsidR="001C202F" w:rsidRDefault="001C202F" w:rsidP="001C202F">
      <w:pPr>
        <w:pStyle w:val="Body"/>
      </w:pPr>
      <w:r w:rsidRPr="00C80D46">
        <w:t xml:space="preserve">The primary responsibility for the design and quality assurance of new programs lies internally, with universities and their governing bodies. When preparing a New Program Proposal, universities are responsible for the development of program objectives (see </w:t>
      </w:r>
      <w:hyperlink r:id="rId13" w:history="1">
        <w:r w:rsidRPr="006660AF">
          <w:rPr>
            <w:rStyle w:val="Hyperlink"/>
          </w:rPr>
          <w:t>Guidance</w:t>
        </w:r>
      </w:hyperlink>
      <w:r w:rsidRPr="00C80D46">
        <w:t>) and curriculum design, the creation and clear articulation of program-level learning outcomes (see</w:t>
      </w:r>
      <w:r>
        <w:t xml:space="preserve"> </w:t>
      </w:r>
      <w:hyperlink w:anchor="Definitions" w:history="1">
        <w:r w:rsidRPr="00684B00">
          <w:rPr>
            <w:rStyle w:val="Hyperlink"/>
          </w:rPr>
          <w:t>Definition</w:t>
        </w:r>
      </w:hyperlink>
      <w:r>
        <w:t xml:space="preserve"> and </w:t>
      </w:r>
      <w:hyperlink r:id="rId14" w:history="1">
        <w:r w:rsidRPr="006660AF">
          <w:rPr>
            <w:rStyle w:val="Hyperlink"/>
          </w:rPr>
          <w:t>Guidance</w:t>
        </w:r>
      </w:hyperlink>
      <w:r>
        <w:t>) and the design of their assessment, and generally for the assembly of human, instructional and physical resources needed to achieve those program-level learning outcomes. Independent expert review is foundational to this process</w:t>
      </w:r>
      <w:r w:rsidRPr="00684B00">
        <w:t xml:space="preserve">. </w:t>
      </w:r>
      <w:hyperlink w:anchor="FlowChart1" w:history="1">
        <w:r w:rsidRPr="00684B00">
          <w:rPr>
            <w:rStyle w:val="Hyperlink"/>
          </w:rPr>
          <w:t>Flow Chart 1: Overview of the Protocol for Undergraduate and Graduate New Program Approvals</w:t>
        </w:r>
      </w:hyperlink>
      <w:r>
        <w:t xml:space="preserve"> shows the major steps, within the institution and through the Quality Council, required for the approval of new programs by this protocol.</w:t>
      </w:r>
    </w:p>
    <w:p w:rsidR="001C202F" w:rsidRDefault="001C202F" w:rsidP="001C202F">
      <w:pPr>
        <w:pStyle w:val="Body"/>
      </w:pPr>
      <w:r>
        <w:t>The Quality Council’s Appraisal Committee reviews the Proposals. The Council has the final authority to approve (with or without conditions) or decline New Program Proposals.</w:t>
      </w:r>
    </w:p>
    <w:p w:rsidR="001C202F" w:rsidRDefault="001C202F" w:rsidP="001C202F">
      <w:pPr>
        <w:pStyle w:val="Body"/>
      </w:pPr>
      <w:r>
        <w:lastRenderedPageBreak/>
        <w:t>The Protocol details the robust oversight role of the Quality Council and its Appraisal Committee; this oversight is essential to ensuring that the integrity and reputation of Ontario’s university degrees are maintained.</w:t>
      </w:r>
    </w:p>
    <w:p w:rsidR="001C202F" w:rsidRDefault="001C202F" w:rsidP="001C202F">
      <w:pPr>
        <w:pStyle w:val="Heading2-exclTOC"/>
      </w:pPr>
      <w:bookmarkStart w:id="10" w:name="_Toc79397394"/>
      <w:r>
        <w:t>Outcomes</w:t>
      </w:r>
      <w:bookmarkEnd w:id="10"/>
    </w:p>
    <w:p w:rsidR="001C202F" w:rsidRDefault="001C202F" w:rsidP="001C202F">
      <w:pPr>
        <w:pStyle w:val="Body"/>
      </w:pPr>
      <w:r>
        <w:t>The process of applying for and approving a new program is designed to ensure that Quality Council decisions are provided quickly. It is an essential outcome of the process that decisions by the Quality Council be made carefully and efficiently. Universities need efficient processes to ensure that new programs can be launched to meet upcoming term application deadlines, and more generally, to support innovation.</w:t>
      </w:r>
    </w:p>
    <w:p w:rsidR="001C202F" w:rsidRDefault="001C202F" w:rsidP="001C202F">
      <w:pPr>
        <w:pStyle w:val="Body"/>
      </w:pPr>
      <w:r>
        <w:t>A second important outcome of the Protocol for New Program Approvals is a demonstrated commitment to ongoing and continuous improvement of the approved program, particularly in the areas of program-level learning outcomes and the assessment of the student achievement of these learning outcomes. The monitoring of a new program is therefore an essential element of continuous improvement within the Protocol for New Program Approvals.</w:t>
      </w:r>
    </w:p>
    <w:p w:rsidR="001C202F" w:rsidRDefault="001C202F" w:rsidP="001C202F">
      <w:pPr>
        <w:spacing w:after="0"/>
        <w:rPr>
          <w:sz w:val="18"/>
        </w:rPr>
      </w:pPr>
      <w:r>
        <w:br w:type="page"/>
      </w:r>
    </w:p>
    <w:tbl>
      <w:tblPr>
        <w:tblStyle w:val="TableGrid"/>
        <w:tblW w:w="9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low Chart 1"/>
        <w:tblDescription w:val="Overview of Protocol for Undergraduate and Graduate New Program Approvals (Steps shown for Programs Approved to Commence)"/>
      </w:tblPr>
      <w:tblGrid>
        <w:gridCol w:w="9103"/>
      </w:tblGrid>
      <w:tr w:rsidR="001C202F" w:rsidRPr="0023280E" w:rsidTr="00996BA1">
        <w:trPr>
          <w:cantSplit/>
          <w:trHeight w:val="642"/>
        </w:trPr>
        <w:tc>
          <w:tcPr>
            <w:tcW w:w="9103" w:type="dxa"/>
            <w:shd w:val="clear" w:color="auto" w:fill="auto"/>
          </w:tcPr>
          <w:p w:rsidR="001C202F" w:rsidRPr="00871E4A" w:rsidRDefault="001C202F" w:rsidP="00996BA1">
            <w:pPr>
              <w:pStyle w:val="Flowchart-Title"/>
              <w:framePr w:wrap="around"/>
            </w:pPr>
            <w:bookmarkStart w:id="11" w:name="FlowChart1"/>
            <w:bookmarkStart w:id="12" w:name="_Toc88509224"/>
            <w:bookmarkEnd w:id="11"/>
            <w:r w:rsidRPr="00D53CE6">
              <w:lastRenderedPageBreak/>
              <w:t xml:space="preserve">Flow Chart 1: Overview of Protocol for Undergraduate and Graduate New Program Approvals </w:t>
            </w:r>
            <w:r w:rsidRPr="00653B2F">
              <w:rPr>
                <w:lang w:val="en-US"/>
              </w:rPr>
              <w:t xml:space="preserve">(Steps shown </w:t>
            </w:r>
            <w:r w:rsidRPr="00204993">
              <w:t>for</w:t>
            </w:r>
            <w:r w:rsidRPr="00653B2F">
              <w:rPr>
                <w:lang w:val="en-US"/>
              </w:rPr>
              <w:t xml:space="preserve"> Programs </w:t>
            </w:r>
            <w:r w:rsidRPr="00313B68">
              <w:t>Approved</w:t>
            </w:r>
            <w:r w:rsidRPr="00653B2F">
              <w:rPr>
                <w:lang w:val="en-US"/>
              </w:rPr>
              <w:t xml:space="preserve"> to Commence)</w:t>
            </w:r>
            <w:bookmarkEnd w:id="12"/>
          </w:p>
        </w:tc>
      </w:tr>
    </w:tbl>
    <w:tbl>
      <w:tblPr>
        <w:tblStyle w:val="TableGrid"/>
        <w:tblW w:w="9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low Chart 1"/>
        <w:tblDescription w:val="Overview of Protocol for Undergraduate and Graduate New Program Approvals (Steps shown for Programs Approved to Commence)"/>
      </w:tblPr>
      <w:tblGrid>
        <w:gridCol w:w="2275"/>
        <w:gridCol w:w="759"/>
        <w:gridCol w:w="1517"/>
        <w:gridCol w:w="1517"/>
        <w:gridCol w:w="759"/>
        <w:gridCol w:w="2276"/>
      </w:tblGrid>
      <w:tr w:rsidR="001C202F" w:rsidRPr="0023280E" w:rsidTr="00996BA1">
        <w:trPr>
          <w:cantSplit/>
          <w:trHeight w:val="591"/>
        </w:trPr>
        <w:tc>
          <w:tcPr>
            <w:tcW w:w="9103" w:type="dxa"/>
            <w:gridSpan w:val="6"/>
            <w:shd w:val="clear" w:color="auto" w:fill="920030"/>
            <w:vAlign w:val="center"/>
          </w:tcPr>
          <w:p w:rsidR="001C202F" w:rsidRPr="00871E4A" w:rsidRDefault="001C202F" w:rsidP="00996BA1">
            <w:pPr>
              <w:pStyle w:val="Flowchart-HeadingWhite"/>
            </w:pPr>
            <w:r w:rsidRPr="00871E4A">
              <w:t xml:space="preserve">Internal University </w:t>
            </w:r>
            <w:r w:rsidRPr="00897EBA">
              <w:t>Process</w:t>
            </w:r>
          </w:p>
        </w:tc>
      </w:tr>
      <w:tr w:rsidR="001C202F" w:rsidTr="00996BA1">
        <w:trPr>
          <w:cantSplit/>
          <w:trHeight w:val="2106"/>
        </w:trPr>
        <w:tc>
          <w:tcPr>
            <w:tcW w:w="2275" w:type="dxa"/>
            <w:tcBorders>
              <w:right w:val="single" w:sz="4" w:space="0" w:color="auto"/>
            </w:tcBorders>
            <w:shd w:val="clear" w:color="auto" w:fill="F2F2F2"/>
          </w:tcPr>
          <w:p w:rsidR="001C202F" w:rsidRDefault="001C202F" w:rsidP="00996BA1">
            <w:pPr>
              <w:pStyle w:val="Flowchart-Body"/>
              <w:framePr w:hSpace="0" w:wrap="auto" w:vAnchor="margin" w:hAnchor="text" w:yAlign="inline"/>
            </w:pPr>
            <w:r>
              <mc:AlternateContent>
                <mc:Choice Requires="wps">
                  <w:drawing>
                    <wp:anchor distT="0" distB="0" distL="114300" distR="114300" simplePos="0" relativeHeight="251660288" behindDoc="0" locked="0" layoutInCell="1" allowOverlap="1" wp14:anchorId="26C32E59" wp14:editId="28D5D324">
                      <wp:simplePos x="0" y="0"/>
                      <wp:positionH relativeFrom="column">
                        <wp:posOffset>1211580</wp:posOffset>
                      </wp:positionH>
                      <wp:positionV relativeFrom="paragraph">
                        <wp:posOffset>178435</wp:posOffset>
                      </wp:positionV>
                      <wp:extent cx="115570" cy="142240"/>
                      <wp:effectExtent l="0" t="0" r="0" b="0"/>
                      <wp:wrapNone/>
                      <wp:docPr id="58" name="Right Arrow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570" cy="142240"/>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454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8" o:spid="_x0000_s1026" type="#_x0000_t13" style="position:absolute;margin-left:95.4pt;margin-top:14.05pt;width:9.1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" adj="10800" fillcolor="#920030" stroked="f" strokeweight="2pt"/>
                  </w:pict>
                </mc:Fallback>
              </mc:AlternateContent>
            </w:r>
            <w:r>
              <w:t xml:space="preserve">Development </w:t>
            </w:r>
            <w:r>
              <w:br/>
              <w:t xml:space="preserve">of Program </w:t>
            </w:r>
            <w:r>
              <w:br/>
              <w:t>Proposal</w:t>
            </w:r>
          </w:p>
        </w:tc>
        <w:tc>
          <w:tcPr>
            <w:tcW w:w="2276" w:type="dxa"/>
            <w:gridSpan w:val="2"/>
            <w:tcBorders>
              <w:left w:val="single" w:sz="4" w:space="0" w:color="auto"/>
              <w:right w:val="single" w:sz="4" w:space="0" w:color="auto"/>
            </w:tcBorders>
            <w:shd w:val="clear" w:color="auto" w:fill="F2F2F2"/>
          </w:tcPr>
          <w:p w:rsidR="001C202F" w:rsidRDefault="001C202F" w:rsidP="00996BA1">
            <w:pPr>
              <w:pStyle w:val="Flowchart-Body"/>
              <w:framePr w:hSpace="0" w:wrap="auto" w:vAnchor="margin" w:hAnchor="text" w:yAlign="inline"/>
            </w:pPr>
            <w:r>
              <mc:AlternateContent>
                <mc:Choice Requires="wps">
                  <w:drawing>
                    <wp:anchor distT="0" distB="0" distL="114300" distR="114300" simplePos="0" relativeHeight="251661312" behindDoc="0" locked="0" layoutInCell="1" allowOverlap="1" wp14:anchorId="2E11D882" wp14:editId="7DABB130">
                      <wp:simplePos x="0" y="0"/>
                      <wp:positionH relativeFrom="column">
                        <wp:posOffset>1206500</wp:posOffset>
                      </wp:positionH>
                      <wp:positionV relativeFrom="paragraph">
                        <wp:posOffset>109855</wp:posOffset>
                      </wp:positionV>
                      <wp:extent cx="115570" cy="142240"/>
                      <wp:effectExtent l="0" t="0" r="0" b="0"/>
                      <wp:wrapNone/>
                      <wp:docPr id="11" name="Right Arrow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570" cy="142240"/>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02A67" id="Right Arrow 11" o:spid="_x0000_s1026" type="#_x0000_t13" style="position:absolute;margin-left:95pt;margin-top:8.65pt;width:9.1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" adj="10800" fillcolor="#920030" stroked="f" strokeweight="2pt"/>
                  </w:pict>
                </mc:Fallback>
              </mc:AlternateContent>
            </w:r>
            <w:r>
              <w:t xml:space="preserve">External </w:t>
            </w:r>
            <w:r>
              <w:br/>
              <w:t>review</w:t>
            </w:r>
          </w:p>
        </w:tc>
        <w:tc>
          <w:tcPr>
            <w:tcW w:w="2276" w:type="dxa"/>
            <w:gridSpan w:val="2"/>
            <w:tcBorders>
              <w:left w:val="single" w:sz="4" w:space="0" w:color="auto"/>
              <w:right w:val="single" w:sz="4" w:space="0" w:color="auto"/>
            </w:tcBorders>
            <w:shd w:val="clear" w:color="auto" w:fill="F2F2F2"/>
          </w:tcPr>
          <w:p w:rsidR="001C202F" w:rsidRDefault="001C202F" w:rsidP="00996BA1">
            <w:pPr>
              <w:pStyle w:val="Flowchart-Body"/>
              <w:framePr w:hSpace="0" w:wrap="auto" w:vAnchor="margin" w:hAnchor="text" w:yAlign="inline"/>
            </w:pPr>
            <w:r>
              <mc:AlternateContent>
                <mc:Choice Requires="wps">
                  <w:drawing>
                    <wp:anchor distT="0" distB="0" distL="114300" distR="114300" simplePos="0" relativeHeight="251662336" behindDoc="0" locked="0" layoutInCell="1" allowOverlap="1" wp14:anchorId="3EB986F5" wp14:editId="6E7B3D0B">
                      <wp:simplePos x="0" y="0"/>
                      <wp:positionH relativeFrom="column">
                        <wp:posOffset>1218565</wp:posOffset>
                      </wp:positionH>
                      <wp:positionV relativeFrom="paragraph">
                        <wp:posOffset>106680</wp:posOffset>
                      </wp:positionV>
                      <wp:extent cx="115570" cy="142240"/>
                      <wp:effectExtent l="0" t="0" r="0" b="0"/>
                      <wp:wrapNone/>
                      <wp:docPr id="12" name="Right Arrow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570" cy="142240"/>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0744B" id="Right Arrow 12" o:spid="_x0000_s1026" type="#_x0000_t13" style="position:absolute;margin-left:95.95pt;margin-top:8.4pt;width:9.1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" adj="10800" fillcolor="#920030" stroked="f" strokeweight="2pt"/>
                  </w:pict>
                </mc:Fallback>
              </mc:AlternateContent>
            </w:r>
            <w:r>
              <w:t xml:space="preserve">Internal </w:t>
            </w:r>
            <w:r>
              <w:br/>
              <w:t>responses</w:t>
            </w:r>
          </w:p>
        </w:tc>
        <w:tc>
          <w:tcPr>
            <w:tcW w:w="2276" w:type="dxa"/>
            <w:tcBorders>
              <w:left w:val="single" w:sz="4" w:space="0" w:color="auto"/>
            </w:tcBorders>
            <w:shd w:val="clear" w:color="auto" w:fill="F2F2F2"/>
          </w:tcPr>
          <w:p w:rsidR="001C202F" w:rsidRDefault="001C202F" w:rsidP="00996BA1">
            <w:pPr>
              <w:pStyle w:val="Flowchart-Body"/>
              <w:framePr w:hSpace="0" w:wrap="auto" w:vAnchor="margin" w:hAnchor="text" w:yAlign="inline"/>
            </w:pPr>
            <w:r>
              <w:t>University governance procedure and institutional approval</w:t>
            </w:r>
          </w:p>
        </w:tc>
      </w:tr>
      <w:tr w:rsidR="001C202F" w:rsidTr="00996BA1">
        <w:trPr>
          <w:cantSplit/>
          <w:trHeight w:val="1548"/>
        </w:trPr>
        <w:tc>
          <w:tcPr>
            <w:tcW w:w="9103" w:type="dxa"/>
            <w:gridSpan w:val="6"/>
            <w:shd w:val="clear" w:color="auto" w:fill="FFFFFF" w:themeFill="background1"/>
          </w:tcPr>
          <w:p w:rsidR="001C202F" w:rsidRDefault="001C202F" w:rsidP="00996BA1">
            <w:pPr>
              <w:pStyle w:val="Flowchart-Body"/>
              <w:framePr w:hSpace="0" w:wrap="auto" w:vAnchor="margin" w:hAnchor="text" w:yAlign="inline"/>
            </w:pPr>
            <w:r>
              <w:br/>
            </w:r>
            <w:r>
              <w:br/>
            </w:r>
            <w:r w:rsidRPr="00735902">
              <w:drawing>
                <wp:inline distT="0" distB="0" distL="0" distR="0" wp14:anchorId="08E1B940" wp14:editId="568C6F3E">
                  <wp:extent cx="1866900" cy="1905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5"/>
                          <a:stretch>
                            <a:fillRect/>
                          </a:stretch>
                        </pic:blipFill>
                        <pic:spPr>
                          <a:xfrm>
                            <a:off x="0" y="0"/>
                            <a:ext cx="1866900" cy="190500"/>
                          </a:xfrm>
                          <a:prstGeom prst="rect">
                            <a:avLst/>
                          </a:prstGeom>
                        </pic:spPr>
                      </pic:pic>
                    </a:graphicData>
                  </a:graphic>
                </wp:inline>
              </w:drawing>
            </w:r>
          </w:p>
        </w:tc>
      </w:tr>
      <w:tr w:rsidR="001C202F" w:rsidTr="00996BA1">
        <w:trPr>
          <w:cantSplit/>
          <w:trHeight w:val="622"/>
        </w:trPr>
        <w:tc>
          <w:tcPr>
            <w:tcW w:w="9103" w:type="dxa"/>
            <w:gridSpan w:val="6"/>
            <w:shd w:val="clear" w:color="auto" w:fill="920030"/>
            <w:vAlign w:val="center"/>
          </w:tcPr>
          <w:p w:rsidR="001C202F" w:rsidRPr="00897EBA" w:rsidRDefault="001C202F" w:rsidP="00996BA1">
            <w:pPr>
              <w:pStyle w:val="Flowchart-HeadingWhite"/>
            </w:pPr>
            <w:r>
              <w:t>Quality Council Approval Process</w:t>
            </w:r>
          </w:p>
        </w:tc>
      </w:tr>
      <w:tr w:rsidR="001C202F" w:rsidTr="00996BA1">
        <w:trPr>
          <w:cantSplit/>
          <w:trHeight w:val="1785"/>
        </w:trPr>
        <w:tc>
          <w:tcPr>
            <w:tcW w:w="4551" w:type="dxa"/>
            <w:gridSpan w:val="3"/>
            <w:tcBorders>
              <w:right w:val="single" w:sz="4" w:space="0" w:color="auto"/>
            </w:tcBorders>
            <w:shd w:val="clear" w:color="auto" w:fill="F2F2F2"/>
          </w:tcPr>
          <w:p w:rsidR="001C202F" w:rsidRDefault="001C202F" w:rsidP="00996BA1">
            <w:pPr>
              <w:pStyle w:val="Flowchart-Body"/>
              <w:framePr w:hSpace="0" w:wrap="auto" w:vAnchor="margin" w:hAnchor="text" w:yAlign="inline"/>
            </w:pPr>
            <w:r>
              <mc:AlternateContent>
                <mc:Choice Requires="wps">
                  <w:drawing>
                    <wp:anchor distT="0" distB="0" distL="114300" distR="114300" simplePos="0" relativeHeight="251663360" behindDoc="0" locked="0" layoutInCell="1" allowOverlap="1" wp14:anchorId="649470B1" wp14:editId="2DB427F8">
                      <wp:simplePos x="0" y="0"/>
                      <wp:positionH relativeFrom="column">
                        <wp:posOffset>2650490</wp:posOffset>
                      </wp:positionH>
                      <wp:positionV relativeFrom="paragraph">
                        <wp:posOffset>126365</wp:posOffset>
                      </wp:positionV>
                      <wp:extent cx="115570" cy="142240"/>
                      <wp:effectExtent l="0" t="0" r="0" b="0"/>
                      <wp:wrapNone/>
                      <wp:docPr id="13" name="Right Arrow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570" cy="142240"/>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5ABD6" id="Right Arrow 13" o:spid="_x0000_s1026" type="#_x0000_t13" style="position:absolute;margin-left:208.7pt;margin-top:9.95pt;width:9.1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" adj="10800" fillcolor="#920030" stroked="f" strokeweight="2pt"/>
                  </w:pict>
                </mc:Fallback>
              </mc:AlternateContent>
            </w:r>
            <w:r w:rsidRPr="00696DAF">
              <w:rPr>
                <w:lang w:val="en-US"/>
              </w:rPr>
              <w:t xml:space="preserve">Appraisal Committee review </w:t>
            </w:r>
            <w:r>
              <w:rPr>
                <w:lang w:val="en-US"/>
              </w:rPr>
              <w:br/>
            </w:r>
            <w:r w:rsidRPr="00696DAF">
              <w:rPr>
                <w:lang w:val="en-US"/>
              </w:rPr>
              <w:t>and recommendation</w:t>
            </w:r>
          </w:p>
        </w:tc>
        <w:tc>
          <w:tcPr>
            <w:tcW w:w="4552" w:type="dxa"/>
            <w:gridSpan w:val="3"/>
            <w:tcBorders>
              <w:left w:val="single" w:sz="4" w:space="0" w:color="auto"/>
            </w:tcBorders>
            <w:shd w:val="clear" w:color="auto" w:fill="F2F2F2"/>
          </w:tcPr>
          <w:p w:rsidR="001C202F" w:rsidRPr="002F4FA8" w:rsidRDefault="001C202F" w:rsidP="00996BA1">
            <w:pPr>
              <w:pStyle w:val="Flowchart-Body"/>
              <w:framePr w:wrap="around"/>
              <w:rPr>
                <w:lang w:val="en-US"/>
              </w:rPr>
            </w:pPr>
            <w:r w:rsidRPr="002F4FA8">
              <w:rPr>
                <w:lang w:val="en-US"/>
              </w:rPr>
              <w:t>Quality Council decision</w:t>
            </w:r>
          </w:p>
        </w:tc>
      </w:tr>
      <w:tr w:rsidR="001C202F" w:rsidTr="00996BA1">
        <w:trPr>
          <w:cantSplit/>
          <w:trHeight w:val="1454"/>
        </w:trPr>
        <w:tc>
          <w:tcPr>
            <w:tcW w:w="9103" w:type="dxa"/>
            <w:gridSpan w:val="6"/>
            <w:shd w:val="clear" w:color="auto" w:fill="FFFFFF" w:themeFill="background1"/>
          </w:tcPr>
          <w:p w:rsidR="001C202F" w:rsidRDefault="001C202F" w:rsidP="00996BA1">
            <w:pPr>
              <w:pStyle w:val="Flowchart-Body"/>
              <w:framePr w:hSpace="0" w:wrap="auto" w:vAnchor="margin" w:hAnchor="text" w:yAlign="inline"/>
            </w:pPr>
            <w:r>
              <w:br/>
            </w:r>
            <w:r>
              <w:br/>
            </w:r>
            <w:r w:rsidRPr="00735902">
              <w:drawing>
                <wp:inline distT="0" distB="0" distL="0" distR="0" wp14:anchorId="736E1D9F" wp14:editId="6273565E">
                  <wp:extent cx="1866900" cy="190500"/>
                  <wp:effectExtent l="0" t="0" r="0" b="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pic:nvPicPr>
                        <pic:blipFill>
                          <a:blip r:embed="rId15"/>
                          <a:stretch>
                            <a:fillRect/>
                          </a:stretch>
                        </pic:blipFill>
                        <pic:spPr>
                          <a:xfrm>
                            <a:off x="0" y="0"/>
                            <a:ext cx="1866900" cy="190500"/>
                          </a:xfrm>
                          <a:prstGeom prst="rect">
                            <a:avLst/>
                          </a:prstGeom>
                        </pic:spPr>
                      </pic:pic>
                    </a:graphicData>
                  </a:graphic>
                </wp:inline>
              </w:drawing>
            </w:r>
          </w:p>
        </w:tc>
      </w:tr>
      <w:tr w:rsidR="001C202F" w:rsidTr="00996BA1">
        <w:trPr>
          <w:cantSplit/>
          <w:trHeight w:val="593"/>
        </w:trPr>
        <w:tc>
          <w:tcPr>
            <w:tcW w:w="9103" w:type="dxa"/>
            <w:gridSpan w:val="6"/>
            <w:shd w:val="clear" w:color="auto" w:fill="920030"/>
            <w:vAlign w:val="center"/>
          </w:tcPr>
          <w:p w:rsidR="001C202F" w:rsidRDefault="001C202F" w:rsidP="00996BA1">
            <w:pPr>
              <w:pStyle w:val="Flowchart-HeadingWhite"/>
            </w:pPr>
            <w:r>
              <w:t>Follow-Up Process</w:t>
            </w:r>
          </w:p>
        </w:tc>
      </w:tr>
      <w:tr w:rsidR="001C202F" w:rsidTr="00996BA1">
        <w:trPr>
          <w:cantSplit/>
          <w:trHeight w:val="2079"/>
        </w:trPr>
        <w:tc>
          <w:tcPr>
            <w:tcW w:w="3034" w:type="dxa"/>
            <w:gridSpan w:val="2"/>
            <w:tcBorders>
              <w:right w:val="single" w:sz="4" w:space="0" w:color="auto"/>
            </w:tcBorders>
            <w:shd w:val="clear" w:color="auto" w:fill="F2F2F2"/>
          </w:tcPr>
          <w:p w:rsidR="001C202F" w:rsidRDefault="001C202F" w:rsidP="00996BA1">
            <w:pPr>
              <w:pStyle w:val="Flowchart-Body"/>
              <w:framePr w:hSpace="0" w:wrap="auto" w:vAnchor="margin" w:hAnchor="text" w:yAlign="inline"/>
            </w:pPr>
            <w:r>
              <mc:AlternateContent>
                <mc:Choice Requires="wps">
                  <w:drawing>
                    <wp:anchor distT="0" distB="0" distL="114300" distR="114300" simplePos="0" relativeHeight="251664384" behindDoc="0" locked="0" layoutInCell="1" allowOverlap="1" wp14:anchorId="7DC54CDB" wp14:editId="15225F4D">
                      <wp:simplePos x="0" y="0"/>
                      <wp:positionH relativeFrom="column">
                        <wp:posOffset>1679041</wp:posOffset>
                      </wp:positionH>
                      <wp:positionV relativeFrom="paragraph">
                        <wp:posOffset>362284</wp:posOffset>
                      </wp:positionV>
                      <wp:extent cx="116065" cy="142336"/>
                      <wp:effectExtent l="0" t="0" r="0" b="0"/>
                      <wp:wrapNone/>
                      <wp:docPr id="14" name="Right Arrow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6065" cy="142336"/>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F9D15" id="Right Arrow 14" o:spid="_x0000_s1026" type="#_x0000_t13" style="position:absolute;margin-left:132.2pt;margin-top:28.55pt;width:9.15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" adj="10800" fillcolor="#920030" stroked="f" strokeweight="2pt"/>
                  </w:pict>
                </mc:Fallback>
              </mc:AlternateContent>
            </w:r>
            <w:r w:rsidRPr="006877E1">
              <w:t xml:space="preserve">Program </w:t>
            </w:r>
            <w:r>
              <w:br/>
              <w:t>i</w:t>
            </w:r>
            <w:r w:rsidRPr="006877E1">
              <w:t xml:space="preserve">mplementation </w:t>
            </w:r>
            <w:r>
              <w:br/>
            </w:r>
            <w:r w:rsidRPr="006877E1">
              <w:t>within 36 months of approval</w:t>
            </w:r>
          </w:p>
        </w:tc>
        <w:tc>
          <w:tcPr>
            <w:tcW w:w="3034" w:type="dxa"/>
            <w:gridSpan w:val="2"/>
            <w:tcBorders>
              <w:left w:val="single" w:sz="4" w:space="0" w:color="auto"/>
              <w:right w:val="single" w:sz="4" w:space="0" w:color="auto"/>
            </w:tcBorders>
            <w:shd w:val="clear" w:color="auto" w:fill="F2F2F2"/>
          </w:tcPr>
          <w:p w:rsidR="001C202F" w:rsidRDefault="001C202F" w:rsidP="00996BA1">
            <w:pPr>
              <w:pStyle w:val="Flowchart-Body"/>
              <w:framePr w:hSpace="0" w:wrap="auto" w:vAnchor="margin" w:hAnchor="text" w:yAlign="inline"/>
            </w:pPr>
            <w:r>
              <mc:AlternateContent>
                <mc:Choice Requires="wps">
                  <w:drawing>
                    <wp:anchor distT="0" distB="0" distL="114300" distR="114300" simplePos="0" relativeHeight="251665408" behindDoc="0" locked="0" layoutInCell="1" allowOverlap="1" wp14:anchorId="62AEDC9F" wp14:editId="69529CD2">
                      <wp:simplePos x="0" y="0"/>
                      <wp:positionH relativeFrom="column">
                        <wp:posOffset>1699895</wp:posOffset>
                      </wp:positionH>
                      <wp:positionV relativeFrom="paragraph">
                        <wp:posOffset>217805</wp:posOffset>
                      </wp:positionV>
                      <wp:extent cx="115570" cy="142240"/>
                      <wp:effectExtent l="0" t="0" r="0" b="0"/>
                      <wp:wrapNone/>
                      <wp:docPr id="15" name="Right Arrow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570" cy="142240"/>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1EE31" id="Right Arrow 15" o:spid="_x0000_s1026" type="#_x0000_t13" style="position:absolute;margin-left:133.85pt;margin-top:17.15pt;width:9.1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" adj="10800" fillcolor="#920030" stroked="f" strokeweight="2pt"/>
                  </w:pict>
                </mc:Fallback>
              </mc:AlternateContent>
            </w:r>
            <w:r w:rsidRPr="006877E1">
              <w:t xml:space="preserve">Ongoing new </w:t>
            </w:r>
            <w:r>
              <w:br/>
            </w:r>
            <w:r w:rsidRPr="006877E1">
              <w:t xml:space="preserve">program monitoring </w:t>
            </w:r>
            <w:r>
              <w:br/>
            </w:r>
            <w:r w:rsidRPr="006877E1">
              <w:t>by institution</w:t>
            </w:r>
          </w:p>
        </w:tc>
        <w:tc>
          <w:tcPr>
            <w:tcW w:w="3035" w:type="dxa"/>
            <w:gridSpan w:val="2"/>
            <w:tcBorders>
              <w:left w:val="single" w:sz="4" w:space="0" w:color="auto"/>
            </w:tcBorders>
            <w:shd w:val="clear" w:color="auto" w:fill="F2F2F2"/>
          </w:tcPr>
          <w:p w:rsidR="001C202F" w:rsidRDefault="001C202F" w:rsidP="00996BA1">
            <w:pPr>
              <w:pStyle w:val="Flowchart-Body"/>
              <w:framePr w:hSpace="0" w:wrap="auto" w:vAnchor="margin" w:hAnchor="text" w:yAlign="inline"/>
            </w:pPr>
            <w:r w:rsidRPr="006877E1">
              <w:t xml:space="preserve">First Cyclical Program Review within </w:t>
            </w:r>
            <w:r>
              <w:t>eight</w:t>
            </w:r>
            <w:r w:rsidRPr="006877E1">
              <w:t xml:space="preserve"> years </w:t>
            </w:r>
            <w:r>
              <w:br/>
            </w:r>
            <w:r w:rsidRPr="006877E1">
              <w:t>of the program's initial enrolment</w:t>
            </w:r>
          </w:p>
        </w:tc>
      </w:tr>
    </w:tbl>
    <w:p w:rsidR="001C202F" w:rsidRDefault="001C202F" w:rsidP="001C202F">
      <w:pPr>
        <w:spacing w:after="0"/>
        <w:rPr>
          <w:sz w:val="18"/>
        </w:rPr>
      </w:pPr>
    </w:p>
    <w:p w:rsidR="001C202F" w:rsidRDefault="001C202F" w:rsidP="001C202F">
      <w:pPr>
        <w:rPr>
          <w:sz w:val="18"/>
        </w:rPr>
      </w:pPr>
      <w:r>
        <w:rPr>
          <w:sz w:val="18"/>
        </w:rPr>
        <w:br w:type="page"/>
      </w:r>
    </w:p>
    <w:p w:rsidR="001C202F" w:rsidRPr="002A5551" w:rsidRDefault="001C202F" w:rsidP="001C202F">
      <w:pPr>
        <w:pStyle w:val="Heading2"/>
      </w:pPr>
      <w:bookmarkStart w:id="13" w:name="_Toc88509225"/>
      <w:bookmarkStart w:id="14" w:name="_Toc79397395"/>
      <w:bookmarkStart w:id="15" w:name="_Toc98513188"/>
      <w:r>
        <w:lastRenderedPageBreak/>
        <w:t>2.1</w:t>
      </w:r>
      <w:r>
        <w:tab/>
      </w:r>
      <w:bookmarkStart w:id="16" w:name="Section2x1"/>
      <w:bookmarkEnd w:id="16"/>
      <w:r w:rsidRPr="002A5551">
        <w:t xml:space="preserve">Initial </w:t>
      </w:r>
      <w:r w:rsidRPr="00435D26">
        <w:t>Institutional</w:t>
      </w:r>
      <w:r w:rsidRPr="002A5551">
        <w:t xml:space="preserve"> Process</w:t>
      </w:r>
      <w:bookmarkEnd w:id="13"/>
      <w:bookmarkEnd w:id="14"/>
      <w:bookmarkEnd w:id="15"/>
    </w:p>
    <w:p w:rsidR="001C202F" w:rsidRPr="00884548" w:rsidRDefault="001C202F" w:rsidP="001C202F">
      <w:pPr>
        <w:pStyle w:val="Body"/>
        <w:rPr>
          <w:lang w:val="en-US"/>
        </w:rPr>
      </w:pPr>
      <w:r w:rsidRPr="00884548">
        <w:rPr>
          <w:lang w:val="en-US"/>
        </w:rPr>
        <w:t xml:space="preserve">Each institution’s IQAP will identify the steps required for the university to develop and approve new undergraduate and graduate programs. This process must include, but is not limited to, the components described throughout the remainder of this Protocol. </w:t>
      </w:r>
      <w:bookmarkStart w:id="17" w:name="_Hlk63252088"/>
      <w:r w:rsidRPr="00884548">
        <w:rPr>
          <w:lang w:val="en-US"/>
        </w:rPr>
        <w:t xml:space="preserve">In recognition of the diversity in institutional strategies, universities may add to the following components for their new program approval process, including for example, consideration of equity, diversity and inclusion, special missions and mandates, and student populations that are being encouraged by governments, institutions, and others. </w:t>
      </w:r>
    </w:p>
    <w:p w:rsidR="001C202F" w:rsidRPr="00884548" w:rsidRDefault="001C202F" w:rsidP="001C202F">
      <w:pPr>
        <w:pStyle w:val="Heading3-exclTOC"/>
      </w:pPr>
      <w:bookmarkStart w:id="18" w:name="_Toc79397396"/>
      <w:bookmarkEnd w:id="17"/>
      <w:r>
        <w:t>2.1.1</w:t>
      </w:r>
      <w:r>
        <w:tab/>
      </w:r>
      <w:r w:rsidRPr="00C070FE">
        <w:t>Program</w:t>
      </w:r>
      <w:r w:rsidRPr="00884548">
        <w:t xml:space="preserve"> </w:t>
      </w:r>
      <w:r w:rsidRPr="0056558A">
        <w:t>Proposal</w:t>
      </w:r>
      <w:bookmarkEnd w:id="18"/>
    </w:p>
    <w:p w:rsidR="001C202F" w:rsidRPr="00884548" w:rsidRDefault="001C202F" w:rsidP="001C202F">
      <w:pPr>
        <w:pStyle w:val="Body"/>
        <w:rPr>
          <w:lang w:val="en-US"/>
        </w:rPr>
      </w:pPr>
      <w:r w:rsidRPr="00884548">
        <w:rPr>
          <w:lang w:val="en-US"/>
        </w:rPr>
        <w:t xml:space="preserve">Universities are strongly encouraged to use the </w:t>
      </w:r>
      <w:hyperlink r:id="rId16" w:history="1">
        <w:r>
          <w:rPr>
            <w:rStyle w:val="Hyperlink"/>
            <w:lang w:val="en-US"/>
          </w:rPr>
          <w:t>Quality C</w:t>
        </w:r>
        <w:r w:rsidRPr="00FE4EC8">
          <w:rPr>
            <w:rStyle w:val="Hyperlink"/>
            <w:lang w:val="en-US"/>
          </w:rPr>
          <w:t>ouncil’s New Program Proposal template</w:t>
        </w:r>
      </w:hyperlink>
      <w:r w:rsidRPr="00884548">
        <w:rPr>
          <w:lang w:val="en-US"/>
        </w:rPr>
        <w:t xml:space="preserve"> to ensure alignment with the required evaluation criteria detailed below. Use of this template will also facilitate ease of review by the members of the Appraisal Committee, who themselves use this template for their assessment (see </w:t>
      </w:r>
      <w:hyperlink r:id="rId17" w:history="1">
        <w:r>
          <w:rPr>
            <w:rStyle w:val="Hyperlink"/>
            <w:lang w:val="en-US"/>
          </w:rPr>
          <w:t>External Reviewers' Report T</w:t>
        </w:r>
        <w:r w:rsidRPr="004D24F8">
          <w:rPr>
            <w:rStyle w:val="Hyperlink"/>
            <w:lang w:val="en-US"/>
          </w:rPr>
          <w:t>emplate</w:t>
        </w:r>
      </w:hyperlink>
      <w:r w:rsidRPr="00884548">
        <w:rPr>
          <w:lang w:val="en-US"/>
        </w:rPr>
        <w:t>). The Proposal will minimally address the evaluation criteria detailed in 2.1.2 and meet the requirements of this Quality Assurance Framework together with any further institutional requirements that the university chooses to apply. Where appropriate, the Proposal should also include the identification of unique curriculum or program innovations, creative components, or significant high impact practices.</w:t>
      </w:r>
    </w:p>
    <w:p w:rsidR="001C202F" w:rsidRPr="00884548" w:rsidRDefault="001C202F" w:rsidP="001C202F">
      <w:pPr>
        <w:pStyle w:val="Heading3-exclTOC"/>
      </w:pPr>
      <w:bookmarkStart w:id="19" w:name="EvaluationCriteria2x1x2"/>
      <w:bookmarkStart w:id="20" w:name="_Toc79397397"/>
      <w:bookmarkEnd w:id="19"/>
      <w:r>
        <w:t>2.1.2</w:t>
      </w:r>
      <w:r>
        <w:tab/>
      </w:r>
      <w:r w:rsidRPr="001A66FD">
        <w:t>Evaluation</w:t>
      </w:r>
      <w:r w:rsidRPr="00884548">
        <w:t xml:space="preserve"> </w:t>
      </w:r>
      <w:r w:rsidRPr="003A4C59">
        <w:t>Criteria</w:t>
      </w:r>
      <w:bookmarkEnd w:id="20"/>
    </w:p>
    <w:p w:rsidR="001C202F" w:rsidRDefault="001C202F" w:rsidP="001C202F">
      <w:pPr>
        <w:pStyle w:val="Body"/>
        <w:rPr>
          <w:lang w:val="en-US"/>
        </w:rPr>
      </w:pPr>
      <w:r w:rsidRPr="00884548">
        <w:rPr>
          <w:lang w:val="en-US"/>
        </w:rPr>
        <w:t>Prior to submitting a Proposal to the Quality Council for appraisal, institutions will evaluate any new graduate or undergraduate programs against the following criteria (and any additional criteria added by the university):</w:t>
      </w:r>
      <w:bookmarkStart w:id="21" w:name="_Toc79397399"/>
    </w:p>
    <w:p w:rsidR="001C202F" w:rsidRPr="00093683" w:rsidRDefault="001C202F" w:rsidP="001C202F">
      <w:pPr>
        <w:pStyle w:val="Heading4"/>
      </w:pPr>
      <w:r w:rsidRPr="00093683">
        <w:t>2.1.2.1</w:t>
      </w:r>
      <w:r w:rsidRPr="00093683">
        <w:tab/>
        <w:t>Program objectives</w:t>
      </w:r>
      <w:bookmarkEnd w:id="21"/>
    </w:p>
    <w:p w:rsidR="001C202F" w:rsidRPr="001909F7" w:rsidRDefault="001C202F" w:rsidP="001C202F">
      <w:pPr>
        <w:pStyle w:val="Listletters"/>
        <w:numPr>
          <w:ilvl w:val="0"/>
          <w:numId w:val="23"/>
        </w:numPr>
      </w:pPr>
      <w:r w:rsidRPr="001909F7">
        <w:t xml:space="preserve">Clarity of the </w:t>
      </w:r>
      <w:r w:rsidRPr="00743632">
        <w:t>program’s</w:t>
      </w:r>
      <w:r w:rsidRPr="001909F7">
        <w:t xml:space="preserve"> objectives;</w:t>
      </w:r>
    </w:p>
    <w:p w:rsidR="001C202F" w:rsidRPr="001909F7" w:rsidRDefault="001C202F" w:rsidP="001C202F">
      <w:pPr>
        <w:pStyle w:val="Listletters"/>
        <w:numPr>
          <w:ilvl w:val="0"/>
          <w:numId w:val="23"/>
        </w:numPr>
      </w:pPr>
      <w:r w:rsidRPr="001909F7">
        <w:t>Appropriateness of degree nomenclature given the program’s objectives; and</w:t>
      </w:r>
    </w:p>
    <w:p w:rsidR="001C202F" w:rsidRPr="001909F7" w:rsidRDefault="001C202F" w:rsidP="001C202F">
      <w:pPr>
        <w:pStyle w:val="Listletters"/>
        <w:numPr>
          <w:ilvl w:val="0"/>
          <w:numId w:val="23"/>
        </w:numPr>
      </w:pPr>
      <w:r w:rsidRPr="001909F7">
        <w:t>Consistency of the program’s objectives with the institution’s mission and academic plans.</w:t>
      </w:r>
    </w:p>
    <w:p w:rsidR="001C202F" w:rsidRPr="00884548" w:rsidRDefault="001C202F" w:rsidP="001C202F">
      <w:pPr>
        <w:pStyle w:val="Heading4"/>
      </w:pPr>
      <w:r>
        <w:t>2.1.2.2</w:t>
      </w:r>
      <w:r>
        <w:tab/>
      </w:r>
      <w:r w:rsidRPr="00884548">
        <w:t>Program requirements</w:t>
      </w:r>
    </w:p>
    <w:p w:rsidR="001C202F" w:rsidRPr="0062373B" w:rsidRDefault="001C202F" w:rsidP="001C202F">
      <w:pPr>
        <w:pStyle w:val="Listletters"/>
        <w:numPr>
          <w:ilvl w:val="0"/>
          <w:numId w:val="24"/>
        </w:numPr>
        <w:rPr>
          <w:lang w:val="en-US"/>
        </w:rPr>
      </w:pPr>
      <w:r w:rsidRPr="0062373B">
        <w:rPr>
          <w:lang w:val="en-US"/>
        </w:rPr>
        <w:t>Appropriateness of the program's structure and the requirements to meet its objectives and program-level learning outcomes;</w:t>
      </w:r>
    </w:p>
    <w:p w:rsidR="001C202F" w:rsidRPr="00884548" w:rsidRDefault="001C202F" w:rsidP="001C202F">
      <w:pPr>
        <w:pStyle w:val="Listletters"/>
        <w:rPr>
          <w:lang w:val="en-US"/>
        </w:rPr>
      </w:pPr>
      <w:r w:rsidRPr="00884548">
        <w:rPr>
          <w:lang w:val="en-US"/>
        </w:rPr>
        <w:t>Appropriateness of the program’s structure, requirements and program-level learning outcomes in meeting the institution’s undergraduate or graduate Degree Level Expectations;</w:t>
      </w:r>
    </w:p>
    <w:p w:rsidR="001C202F" w:rsidRPr="00884548" w:rsidRDefault="001C202F" w:rsidP="001C202F">
      <w:pPr>
        <w:pStyle w:val="Listletters"/>
        <w:rPr>
          <w:lang w:val="en-US"/>
        </w:rPr>
      </w:pPr>
      <w:r w:rsidRPr="00884548">
        <w:rPr>
          <w:lang w:val="en-US"/>
        </w:rPr>
        <w:t xml:space="preserve">Appropriateness of the proposed mode(s) of delivery (see </w:t>
      </w:r>
      <w:hyperlink w:anchor="ModesofDeliveryDefinition" w:history="1">
        <w:r w:rsidRPr="00884548">
          <w:rPr>
            <w:rStyle w:val="Hyperlink"/>
            <w:lang w:val="en-US"/>
          </w:rPr>
          <w:t>Definitions</w:t>
        </w:r>
      </w:hyperlink>
      <w:r w:rsidRPr="00884548">
        <w:rPr>
          <w:lang w:val="en-US"/>
        </w:rPr>
        <w:t>) to facilitate students’ successful completion of the program-level learning outcomes; and</w:t>
      </w:r>
    </w:p>
    <w:p w:rsidR="001C202F" w:rsidRPr="00884548" w:rsidRDefault="001C202F" w:rsidP="001C202F">
      <w:pPr>
        <w:pStyle w:val="Listletters"/>
        <w:rPr>
          <w:lang w:val="en-US"/>
        </w:rPr>
      </w:pPr>
      <w:r w:rsidRPr="00884548">
        <w:rPr>
          <w:lang w:val="en-US"/>
        </w:rPr>
        <w:t>Ways in which the curriculum addresses the current state of the discipline or area of study.</w:t>
      </w:r>
    </w:p>
    <w:p w:rsidR="001C202F" w:rsidRPr="00884548" w:rsidRDefault="001C202F" w:rsidP="001C202F">
      <w:pPr>
        <w:pStyle w:val="Heading4"/>
      </w:pPr>
      <w:r>
        <w:t>2.1.2.3</w:t>
      </w:r>
      <w:r>
        <w:tab/>
      </w:r>
      <w:r w:rsidRPr="00884548">
        <w:t>Program requirements for graduate programs only</w:t>
      </w:r>
    </w:p>
    <w:p w:rsidR="001C202F" w:rsidRPr="0062373B" w:rsidRDefault="001C202F" w:rsidP="001C202F">
      <w:pPr>
        <w:pStyle w:val="Listletters"/>
        <w:numPr>
          <w:ilvl w:val="0"/>
          <w:numId w:val="25"/>
        </w:numPr>
        <w:rPr>
          <w:lang w:val="en-US"/>
        </w:rPr>
      </w:pPr>
      <w:r w:rsidRPr="0062373B">
        <w:rPr>
          <w:lang w:val="en-US"/>
        </w:rPr>
        <w:t>Clear rationale for program length that ensures that students can complete the program-level learning outcomes and requirements within the proposed time;</w:t>
      </w:r>
    </w:p>
    <w:p w:rsidR="001C202F" w:rsidRDefault="001C202F" w:rsidP="001C202F">
      <w:pPr>
        <w:pStyle w:val="Listletters"/>
        <w:rPr>
          <w:lang w:val="en-US"/>
        </w:rPr>
      </w:pPr>
      <w:r w:rsidRPr="00884548">
        <w:rPr>
          <w:lang w:val="en-US"/>
        </w:rPr>
        <w:t>Evidence that each graduate student in the program is required to take a minimum of two-thirds</w:t>
      </w:r>
      <w:r>
        <w:rPr>
          <w:lang w:val="en-US"/>
        </w:rPr>
        <w:t xml:space="preserve"> </w:t>
      </w:r>
      <w:r w:rsidRPr="00884548">
        <w:rPr>
          <w:lang w:val="en-US"/>
        </w:rPr>
        <w:t>of the course requirements from among graduate-level courses; and</w:t>
      </w:r>
    </w:p>
    <w:p w:rsidR="001C202F" w:rsidRPr="00884548" w:rsidRDefault="001C202F" w:rsidP="001C202F">
      <w:pPr>
        <w:pStyle w:val="Listletters"/>
        <w:rPr>
          <w:lang w:val="en-US"/>
        </w:rPr>
      </w:pPr>
      <w:r w:rsidRPr="00884548">
        <w:rPr>
          <w:lang w:val="en-US"/>
        </w:rPr>
        <w:t>For research-focused graduate programs, clear indication of the nature and suitability of the major research requirements for degree completion.</w:t>
      </w:r>
    </w:p>
    <w:p w:rsidR="001C202F" w:rsidRDefault="001C202F" w:rsidP="001C202F">
      <w:pPr>
        <w:pStyle w:val="Listletters"/>
        <w:numPr>
          <w:ilvl w:val="0"/>
          <w:numId w:val="0"/>
        </w:numPr>
        <w:ind w:left="357"/>
        <w:rPr>
          <w:lang w:val="en-US"/>
        </w:rPr>
      </w:pPr>
    </w:p>
    <w:tbl>
      <w:tblPr>
        <w:tblStyle w:val="TableGrid"/>
        <w:tblW w:w="0" w:type="auto"/>
        <w:tblBorders>
          <w:left w:val="none" w:sz="0" w:space="0" w:color="auto"/>
          <w:right w:val="none" w:sz="0" w:space="0" w:color="auto"/>
          <w:insideH w:val="single" w:sz="4" w:space="0" w:color="C00000"/>
          <w:insideV w:val="single" w:sz="4" w:space="0" w:color="C00000"/>
        </w:tblBorders>
        <w:shd w:val="clear" w:color="auto" w:fill="F2F2F2" w:themeFill="background1" w:themeFillShade="F2"/>
        <w:tblLook w:val="04A0" w:firstRow="1" w:lastRow="0" w:firstColumn="1" w:lastColumn="0" w:noHBand="0" w:noVBand="1"/>
      </w:tblPr>
      <w:tblGrid>
        <w:gridCol w:w="9360"/>
      </w:tblGrid>
      <w:tr w:rsidR="001C202F" w:rsidTr="00996BA1">
        <w:trPr>
          <w:cantSplit/>
          <w:trHeight w:val="558"/>
        </w:trPr>
        <w:tc>
          <w:tcPr>
            <w:tcW w:w="10790" w:type="dxa"/>
            <w:tcBorders>
              <w:top w:val="single" w:sz="4" w:space="0" w:color="C00000"/>
            </w:tcBorders>
            <w:shd w:val="clear" w:color="auto" w:fill="F2F2F2" w:themeFill="background1" w:themeFillShade="F2"/>
          </w:tcPr>
          <w:p w:rsidR="001C202F" w:rsidRPr="00743632" w:rsidRDefault="001C202F" w:rsidP="00996BA1">
            <w:pPr>
              <w:pStyle w:val="SidebarHeading"/>
            </w:pPr>
            <w:r w:rsidRPr="00743632">
              <w:lastRenderedPageBreak/>
              <w:t>Guidance: Meeting the Requirement that Two-thirds of Course Requirements be met through Courses at the Graduate Level</w:t>
            </w:r>
          </w:p>
        </w:tc>
      </w:tr>
      <w:tr w:rsidR="001C202F" w:rsidTr="00996BA1">
        <w:trPr>
          <w:cantSplit/>
        </w:trPr>
        <w:tc>
          <w:tcPr>
            <w:tcW w:w="10790" w:type="dxa"/>
            <w:tcBorders>
              <w:top w:val="single" w:sz="4" w:space="0" w:color="C00000"/>
              <w:bottom w:val="single" w:sz="4" w:space="0" w:color="C00000"/>
            </w:tcBorders>
            <w:shd w:val="clear" w:color="auto" w:fill="F2F2F2" w:themeFill="background1" w:themeFillShade="F2"/>
          </w:tcPr>
          <w:p w:rsidR="001C202F" w:rsidRPr="00305233" w:rsidRDefault="001C202F" w:rsidP="00996BA1">
            <w:pPr>
              <w:pStyle w:val="Sidebar-Body"/>
            </w:pPr>
            <w:r w:rsidRPr="00305233">
              <w:t>The OCGS By-Laws and Procedures provided the following description of the expectation for graduate level courses, which may be useful to describe this requirement:</w:t>
            </w:r>
          </w:p>
          <w:p w:rsidR="001C202F" w:rsidRPr="001A16DC" w:rsidRDefault="001C202F" w:rsidP="00996BA1">
            <w:pPr>
              <w:pStyle w:val="Sidebar-Body"/>
              <w:rPr>
                <w:i/>
                <w:iCs/>
              </w:rPr>
            </w:pPr>
            <w:r w:rsidRPr="001A16DC">
              <w:rPr>
                <w:i/>
                <w:iCs/>
              </w:rPr>
              <w:t>“Since graduate work implies work beyond the undergraduate level, quality considerations require that the number of undergraduate or combined courses be limited to a minor proportion of the course requirements for the graduate program; as well, the additional work required of graduate students enrolled in such courses should be outlined. OCGS believes that the number of undergraduate courses or combined courses in which undergraduate students predominate should be not more than one third of the total course requirement for the degree.</w:t>
            </w:r>
          </w:p>
          <w:p w:rsidR="001C202F" w:rsidRPr="001A16DC" w:rsidRDefault="001C202F" w:rsidP="00996BA1">
            <w:pPr>
              <w:pStyle w:val="Sidebar-Body"/>
              <w:rPr>
                <w:i/>
                <w:iCs/>
              </w:rPr>
            </w:pPr>
            <w:r w:rsidRPr="001A16DC">
              <w:rPr>
                <w:i/>
                <w:iCs/>
              </w:rPr>
              <w:t>Course offerings must be appropriate, in currency and in depth of knowledge, for the level of the program and sufficiently varied to provide breadth. To respect the principle of “truth in advertising,” academic units should assess their course offerings to ensure that courses that are advertised are in fact given with some regularity.</w:t>
            </w:r>
          </w:p>
          <w:p w:rsidR="001C202F" w:rsidRDefault="001C202F" w:rsidP="00996BA1">
            <w:pPr>
              <w:pStyle w:val="Sidebar-Body"/>
            </w:pPr>
            <w:r w:rsidRPr="001A16DC">
              <w:rPr>
                <w:i/>
                <w:iCs/>
              </w:rPr>
              <w:t>It is essential in all cases that the graduate student be required to demonstrate the necessary intellectual development in understanding, argument and professional judgment through suitable vehicles, such as projects”.</w:t>
            </w:r>
          </w:p>
        </w:tc>
      </w:tr>
    </w:tbl>
    <w:p w:rsidR="001C202F" w:rsidRPr="00884548" w:rsidRDefault="001C202F" w:rsidP="001C202F">
      <w:pPr>
        <w:pStyle w:val="Heading4"/>
      </w:pPr>
      <w:bookmarkStart w:id="22" w:name="AssessmentTeachLearn2x1x2x4"/>
      <w:bookmarkEnd w:id="22"/>
      <w:r>
        <w:t>2.1.2.4</w:t>
      </w:r>
      <w:r>
        <w:tab/>
      </w:r>
      <w:r w:rsidRPr="00884548">
        <w:t xml:space="preserve">Assessment of teaching and learning (see </w:t>
      </w:r>
      <w:hyperlink r:id="rId18" w:history="1">
        <w:r w:rsidRPr="00D53CE6">
          <w:rPr>
            <w:rStyle w:val="Hyperlink"/>
          </w:rPr>
          <w:t>Guidance</w:t>
        </w:r>
      </w:hyperlink>
      <w:r w:rsidRPr="00884548">
        <w:t>)</w:t>
      </w:r>
    </w:p>
    <w:p w:rsidR="001C202F" w:rsidRPr="0062373B" w:rsidRDefault="001C202F" w:rsidP="001C202F">
      <w:pPr>
        <w:pStyle w:val="Listletters"/>
        <w:numPr>
          <w:ilvl w:val="0"/>
          <w:numId w:val="26"/>
        </w:numPr>
        <w:rPr>
          <w:lang w:val="en-US"/>
        </w:rPr>
      </w:pPr>
      <w:r w:rsidRPr="0062373B">
        <w:rPr>
          <w:lang w:val="en-US"/>
        </w:rPr>
        <w:t>Appropriateness of the methods for assessing student achievement of the program-level learning outcomes and degree level expectations; and</w:t>
      </w:r>
    </w:p>
    <w:p w:rsidR="001C202F" w:rsidRPr="00884548" w:rsidRDefault="001C202F" w:rsidP="001C202F">
      <w:pPr>
        <w:pStyle w:val="Listletters"/>
      </w:pPr>
      <w:r w:rsidRPr="00884548">
        <w:rPr>
          <w:lang w:val="en-US"/>
        </w:rPr>
        <w:t xml:space="preserve">Appropriateness </w:t>
      </w:r>
      <w:r w:rsidRPr="00884548">
        <w:t>of the plans to monitor and assess:</w:t>
      </w:r>
    </w:p>
    <w:p w:rsidR="001C202F" w:rsidRPr="00884548" w:rsidRDefault="001C202F" w:rsidP="001C202F">
      <w:pPr>
        <w:pStyle w:val="Listroman"/>
      </w:pPr>
      <w:r w:rsidRPr="00884548">
        <w:t>The overall quality of the program;</w:t>
      </w:r>
    </w:p>
    <w:p w:rsidR="001C202F" w:rsidRPr="00884548" w:rsidRDefault="001C202F" w:rsidP="001C202F">
      <w:pPr>
        <w:pStyle w:val="Listroman"/>
      </w:pPr>
      <w:r w:rsidRPr="00884548">
        <w:t>Whether the program is achieving in practice its proposed objectives;</w:t>
      </w:r>
    </w:p>
    <w:p w:rsidR="001C202F" w:rsidRPr="00884548" w:rsidRDefault="001C202F" w:rsidP="001C202F">
      <w:pPr>
        <w:pStyle w:val="Listroman"/>
      </w:pPr>
      <w:r w:rsidRPr="00884548">
        <w:t>Whether its students are achieving the program-level learning outcomes; and</w:t>
      </w:r>
    </w:p>
    <w:p w:rsidR="001C202F" w:rsidRPr="00884548" w:rsidRDefault="001C202F" w:rsidP="001C202F">
      <w:pPr>
        <w:pStyle w:val="Listroman"/>
      </w:pPr>
      <w:r w:rsidRPr="00884548">
        <w:t>How the resulting information will be documented and subsequently used to inform continuous program improvement.</w:t>
      </w:r>
    </w:p>
    <w:p w:rsidR="001C202F" w:rsidRPr="00884548" w:rsidRDefault="001C202F" w:rsidP="001C202F">
      <w:pPr>
        <w:pStyle w:val="Heading4"/>
      </w:pPr>
      <w:r>
        <w:t>2.1.2.5</w:t>
      </w:r>
      <w:r>
        <w:tab/>
      </w:r>
      <w:r w:rsidRPr="00884548">
        <w:t xml:space="preserve">Admission </w:t>
      </w:r>
      <w:r w:rsidRPr="0056558A">
        <w:t>requirements</w:t>
      </w:r>
    </w:p>
    <w:p w:rsidR="001C202F" w:rsidRPr="0062373B" w:rsidRDefault="001C202F" w:rsidP="001C202F">
      <w:pPr>
        <w:pStyle w:val="Listletters"/>
        <w:numPr>
          <w:ilvl w:val="0"/>
          <w:numId w:val="27"/>
        </w:numPr>
        <w:rPr>
          <w:lang w:val="en-US"/>
        </w:rPr>
      </w:pPr>
      <w:r w:rsidRPr="0062373B">
        <w:rPr>
          <w:lang w:val="en-US"/>
        </w:rPr>
        <w:t>Appropriateness of the program’s admission requirements given the program’s objectives and program-level learning outcomes; and</w:t>
      </w:r>
    </w:p>
    <w:p w:rsidR="001C202F" w:rsidRPr="00884548" w:rsidRDefault="001C202F" w:rsidP="001C202F">
      <w:pPr>
        <w:pStyle w:val="Listletters"/>
        <w:rPr>
          <w:lang w:val="en-US"/>
        </w:rPr>
      </w:pPr>
      <w:r w:rsidRPr="00884548">
        <w:rPr>
          <w:lang w:val="en-US"/>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p w:rsidR="001C202F" w:rsidRPr="00884548" w:rsidRDefault="001C202F" w:rsidP="001C202F">
      <w:pPr>
        <w:pStyle w:val="Heading4"/>
      </w:pPr>
      <w:r>
        <w:t>2.1.2.6</w:t>
      </w:r>
      <w:r>
        <w:tab/>
      </w:r>
      <w:r w:rsidRPr="00884548">
        <w:t>Resources</w:t>
      </w:r>
    </w:p>
    <w:p w:rsidR="001C202F" w:rsidRPr="00884548" w:rsidRDefault="001C202F" w:rsidP="001C202F">
      <w:pPr>
        <w:pStyle w:val="Body"/>
        <w:rPr>
          <w:lang w:val="en-US"/>
        </w:rPr>
      </w:pPr>
      <w:r w:rsidRPr="00884548">
        <w:rPr>
          <w:lang w:val="en-US"/>
        </w:rPr>
        <w:t>Given the program’s planned /anticipated class sizes and cohorts as well as its program-level learning outcomes:</w:t>
      </w:r>
    </w:p>
    <w:p w:rsidR="001C202F" w:rsidRPr="0062373B" w:rsidRDefault="001C202F" w:rsidP="001C202F">
      <w:pPr>
        <w:pStyle w:val="Listletters"/>
        <w:numPr>
          <w:ilvl w:val="0"/>
          <w:numId w:val="28"/>
        </w:numPr>
        <w:rPr>
          <w:lang w:val="en-US"/>
        </w:rPr>
      </w:pPr>
      <w:r w:rsidRPr="0062373B">
        <w:rPr>
          <w:lang w:val="en-US"/>
        </w:rPr>
        <w:t>Participation of a sufficient number and quality of core faculty who are competent to teach and/or supervise in and achieve the goals of the program and foster the appropriate academic environment;</w:t>
      </w:r>
    </w:p>
    <w:p w:rsidR="001C202F" w:rsidRDefault="001C202F" w:rsidP="001C202F">
      <w:pPr>
        <w:pStyle w:val="Listletters"/>
        <w:rPr>
          <w:lang w:val="en-US"/>
        </w:rPr>
      </w:pPr>
      <w:r w:rsidRPr="00884548">
        <w:rPr>
          <w:lang w:val="en-US"/>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p>
    <w:p w:rsidR="001C202F" w:rsidRDefault="001C202F" w:rsidP="001C202F">
      <w:pPr>
        <w:rPr>
          <w:rFonts w:cs="Times New Roman (Body CS)"/>
          <w:spacing w:val="2"/>
          <w:sz w:val="19"/>
        </w:rPr>
      </w:pPr>
      <w:r>
        <w:lastRenderedPageBreak/>
        <w:br w:type="page"/>
      </w:r>
    </w:p>
    <w:p w:rsidR="001C202F" w:rsidRDefault="001C202F" w:rsidP="001C202F">
      <w:pPr>
        <w:pStyle w:val="Listletters"/>
        <w:numPr>
          <w:ilvl w:val="0"/>
          <w:numId w:val="0"/>
        </w:numPr>
        <w:ind w:left="340"/>
        <w:rPr>
          <w:lang w:val="en-US"/>
        </w:rPr>
      </w:pPr>
    </w:p>
    <w:tbl>
      <w:tblPr>
        <w:tblStyle w:val="TableGrid"/>
        <w:tblpPr w:leftFromText="181" w:rightFromText="181" w:bottomFromText="284" w:vertAnchor="text" w:tblpY="1"/>
        <w:tblOverlap w:val="never"/>
        <w:tblW w:w="0" w:type="auto"/>
        <w:tblBorders>
          <w:left w:val="none" w:sz="0" w:space="0" w:color="auto"/>
          <w:right w:val="none" w:sz="0" w:space="0" w:color="auto"/>
          <w:insideH w:val="single" w:sz="4" w:space="0" w:color="C00000"/>
          <w:insideV w:val="single" w:sz="4" w:space="0" w:color="C00000"/>
        </w:tblBorders>
        <w:shd w:val="clear" w:color="auto" w:fill="F2F2F2" w:themeFill="background1" w:themeFillShade="F2"/>
        <w:tblLook w:val="04A0" w:firstRow="1" w:lastRow="0" w:firstColumn="1" w:lastColumn="0" w:noHBand="0" w:noVBand="1"/>
      </w:tblPr>
      <w:tblGrid>
        <w:gridCol w:w="9360"/>
      </w:tblGrid>
      <w:tr w:rsidR="001C202F" w:rsidTr="00996BA1">
        <w:trPr>
          <w:cantSplit/>
        </w:trPr>
        <w:tc>
          <w:tcPr>
            <w:tcW w:w="10790" w:type="dxa"/>
            <w:tcBorders>
              <w:top w:val="single" w:sz="4" w:space="0" w:color="C00000"/>
            </w:tcBorders>
            <w:shd w:val="clear" w:color="auto" w:fill="F2F2F2" w:themeFill="background1" w:themeFillShade="F2"/>
          </w:tcPr>
          <w:p w:rsidR="001C202F" w:rsidRPr="00305233" w:rsidRDefault="001C202F" w:rsidP="00996BA1">
            <w:pPr>
              <w:pStyle w:val="SidebarHeading"/>
            </w:pPr>
            <w:r w:rsidRPr="00BD0359">
              <w:rPr>
                <w:lang w:val="en-CA"/>
              </w:rPr>
              <w:t>Guidance</w:t>
            </w:r>
            <w:r>
              <w:rPr>
                <w:lang w:val="en-CA"/>
              </w:rPr>
              <w:t xml:space="preserve">: </w:t>
            </w:r>
            <w:r w:rsidRPr="00BD0359">
              <w:rPr>
                <w:lang w:val="en-CA"/>
              </w:rPr>
              <w:t>Sessional/Adjunct Faculty</w:t>
            </w:r>
          </w:p>
        </w:tc>
      </w:tr>
      <w:tr w:rsidR="001C202F" w:rsidTr="00996BA1">
        <w:trPr>
          <w:cantSplit/>
        </w:trPr>
        <w:tc>
          <w:tcPr>
            <w:tcW w:w="10790" w:type="dxa"/>
            <w:tcBorders>
              <w:top w:val="single" w:sz="4" w:space="0" w:color="C00000"/>
              <w:bottom w:val="single" w:sz="4" w:space="0" w:color="C00000"/>
            </w:tcBorders>
            <w:shd w:val="clear" w:color="auto" w:fill="F2F2F2" w:themeFill="background1" w:themeFillShade="F2"/>
          </w:tcPr>
          <w:p w:rsidR="001C202F" w:rsidRDefault="001C202F" w:rsidP="00996BA1">
            <w:pPr>
              <w:pStyle w:val="Sidebar-Body"/>
            </w:pPr>
            <w:r w:rsidRPr="00BD0359">
              <w:rPr>
                <w:lang w:val="en-CA"/>
              </w:rPr>
              <w:t>For programs in which sessional/adjunct faculty have a large role, provide evidence of a long-term plan to ensure that a sustainable, quality program will be delivered when a large proportion of the courses are to be taught by sessional instructors/adjunct faculty. This should include a rationale for the use of a large number of sessional faculty for program delivery, how and from where sessional instructors will be recruited, concrete plans for how a stable and consistent approach to teaching the program’s learning outcomes will be ensured, and information regarding how a consistent assessment of the students’ achievement of these learning outcomes will be maintained under these circumstances.</w:t>
            </w:r>
          </w:p>
        </w:tc>
      </w:tr>
    </w:tbl>
    <w:p w:rsidR="001C202F" w:rsidRPr="00884548" w:rsidRDefault="001C202F" w:rsidP="001C202F">
      <w:pPr>
        <w:pStyle w:val="Listletters"/>
        <w:rPr>
          <w:lang w:val="en-US"/>
        </w:rPr>
      </w:pPr>
      <w:r w:rsidRPr="00884548">
        <w:rPr>
          <w:lang w:val="en-US"/>
        </w:rPr>
        <w:t>If required, provision of supervision of experiential learning opportunities;</w:t>
      </w:r>
    </w:p>
    <w:p w:rsidR="001C202F" w:rsidRPr="00884548" w:rsidRDefault="001C202F" w:rsidP="001C202F">
      <w:pPr>
        <w:pStyle w:val="Listletters"/>
        <w:rPr>
          <w:lang w:val="en-US"/>
        </w:rPr>
      </w:pPr>
      <w:r w:rsidRPr="00884548">
        <w:rPr>
          <w:lang w:val="en-US"/>
        </w:rPr>
        <w:t>Adequacy of the administrative unit’s planned utilization of existing human, physical and financial resources, including implications for the impact on other existing programs at the university;</w:t>
      </w:r>
    </w:p>
    <w:p w:rsidR="001C202F" w:rsidRPr="00884548" w:rsidRDefault="001C202F" w:rsidP="001C202F">
      <w:pPr>
        <w:pStyle w:val="Listletters"/>
        <w:rPr>
          <w:lang w:val="en-US"/>
        </w:rPr>
      </w:pPr>
      <w:r w:rsidRPr="00884548">
        <w:rPr>
          <w:lang w:val="en-US"/>
        </w:rPr>
        <w:t>Evidence that there are adequate resources to sustain the quality of</w:t>
      </w:r>
      <w:r w:rsidRPr="00884548">
        <w:rPr>
          <w:b/>
          <w:i/>
          <w:lang w:val="en-US"/>
        </w:rPr>
        <w:t xml:space="preserve"> </w:t>
      </w:r>
      <w:r w:rsidRPr="00884548">
        <w:rPr>
          <w:lang w:val="en-US"/>
        </w:rPr>
        <w:t>scholarship and research activities produced by students, including library support, information technology support, and laboratory access; and</w:t>
      </w:r>
    </w:p>
    <w:p w:rsidR="001C202F" w:rsidRPr="00884548" w:rsidRDefault="001C202F" w:rsidP="001C202F">
      <w:pPr>
        <w:pStyle w:val="Listletters"/>
        <w:rPr>
          <w:lang w:val="en-US"/>
        </w:rPr>
      </w:pPr>
      <w:r w:rsidRPr="00884548">
        <w:rPr>
          <w:lang w:val="en-US"/>
        </w:rPr>
        <w:t>If necessary, additional institutional resource commitments to support the program in step with its ongoing implementation.</w:t>
      </w:r>
    </w:p>
    <w:p w:rsidR="001C202F" w:rsidRPr="00884548" w:rsidRDefault="001C202F" w:rsidP="001C202F">
      <w:pPr>
        <w:pStyle w:val="Heading4"/>
      </w:pPr>
      <w:r>
        <w:t>2.1.2.7</w:t>
      </w:r>
      <w:r>
        <w:tab/>
      </w:r>
      <w:r w:rsidRPr="00884548">
        <w:t xml:space="preserve">Resources for graduate </w:t>
      </w:r>
      <w:r w:rsidRPr="0062373B">
        <w:t>programs</w:t>
      </w:r>
      <w:r w:rsidRPr="00884548">
        <w:t xml:space="preserve"> only</w:t>
      </w:r>
    </w:p>
    <w:p w:rsidR="001C202F" w:rsidRPr="00884548" w:rsidRDefault="001C202F" w:rsidP="001C202F">
      <w:pPr>
        <w:pStyle w:val="Body"/>
        <w:rPr>
          <w:lang w:val="en-US"/>
        </w:rPr>
      </w:pPr>
      <w:r w:rsidRPr="00884548">
        <w:rPr>
          <w:lang w:val="en-US"/>
        </w:rPr>
        <w:t>Given the program’s planned/anticipated class sizes and cohorts as well as its program-level learning outcomes:</w:t>
      </w:r>
    </w:p>
    <w:p w:rsidR="001C202F" w:rsidRPr="0062373B" w:rsidRDefault="001C202F" w:rsidP="001C202F">
      <w:pPr>
        <w:pStyle w:val="Listletters"/>
        <w:numPr>
          <w:ilvl w:val="0"/>
          <w:numId w:val="29"/>
        </w:numPr>
        <w:rPr>
          <w:lang w:val="en-US"/>
        </w:rPr>
      </w:pPr>
      <w:r w:rsidRPr="0062373B">
        <w:rPr>
          <w:lang w:val="en-US"/>
        </w:rPr>
        <w:t>Evidence that faculty have the recent research or professional/clinical expertise needed to sustain the program, promote innovation, and foster an appropriate intellectual climate;</w:t>
      </w:r>
    </w:p>
    <w:p w:rsidR="001C202F" w:rsidRPr="00884548" w:rsidRDefault="001C202F" w:rsidP="001C202F">
      <w:pPr>
        <w:pStyle w:val="Listletters"/>
        <w:rPr>
          <w:lang w:val="en-US"/>
        </w:rPr>
      </w:pPr>
      <w:r w:rsidRPr="00884548">
        <w:rPr>
          <w:lang w:val="en-US"/>
        </w:rPr>
        <w:t>Where appropriate to the program, evidence that financial assistance for students will be sufficient to ensure adequate quality and numbers of students; and</w:t>
      </w:r>
    </w:p>
    <w:p w:rsidR="001C202F" w:rsidRPr="00884548" w:rsidRDefault="001C202F" w:rsidP="001C202F">
      <w:pPr>
        <w:pStyle w:val="Listletters"/>
        <w:rPr>
          <w:lang w:val="en-US"/>
        </w:rPr>
      </w:pPr>
      <w:r w:rsidRPr="00884548">
        <w:rPr>
          <w:lang w:val="en-US"/>
        </w:rPr>
        <w:t>Evidence of how supervisory loads will be distributed, in light of qualifications and appointment status of the faculty.</w:t>
      </w:r>
    </w:p>
    <w:p w:rsidR="001C202F" w:rsidRPr="00884548" w:rsidRDefault="001C202F" w:rsidP="001C202F">
      <w:pPr>
        <w:pStyle w:val="Heading4"/>
      </w:pPr>
      <w:r>
        <w:t>2.1.2.8</w:t>
      </w:r>
      <w:r>
        <w:tab/>
      </w:r>
      <w:r w:rsidRPr="00884548">
        <w:t>Quality and other indicators</w:t>
      </w:r>
    </w:p>
    <w:p w:rsidR="001C202F" w:rsidRPr="0062373B" w:rsidRDefault="001C202F" w:rsidP="001C202F">
      <w:pPr>
        <w:pStyle w:val="Listletters"/>
        <w:numPr>
          <w:ilvl w:val="0"/>
          <w:numId w:val="30"/>
        </w:numPr>
        <w:rPr>
          <w:lang w:val="en-US"/>
        </w:rPr>
      </w:pPr>
      <w:r w:rsidRPr="0062373B">
        <w:rPr>
          <w:lang w:val="en-US"/>
        </w:rPr>
        <w:t xml:space="preserve">Evidence of the quality of the faculty (e.g., qualifications, funding, </w:t>
      </w:r>
      <w:proofErr w:type="spellStart"/>
      <w:r w:rsidRPr="0062373B">
        <w:rPr>
          <w:lang w:val="en-US"/>
        </w:rPr>
        <w:t>honours</w:t>
      </w:r>
      <w:proofErr w:type="spellEnd"/>
      <w:r w:rsidRPr="0062373B">
        <w:rPr>
          <w:lang w:val="en-US"/>
        </w:rPr>
        <w:t>, awards, research, innovation and scholarly record; appropriateness of collective faculty expertise to contribute substantively to the program and commitment to student mentoring); and</w:t>
      </w:r>
    </w:p>
    <w:p w:rsidR="001C202F" w:rsidRPr="00884548" w:rsidRDefault="001C202F" w:rsidP="001C202F">
      <w:pPr>
        <w:pStyle w:val="Listletters"/>
        <w:rPr>
          <w:lang w:val="en-US"/>
        </w:rPr>
      </w:pPr>
      <w:r w:rsidRPr="00884548">
        <w:rPr>
          <w:lang w:val="en-US"/>
        </w:rPr>
        <w:t>Any other evidence that the program and faculty will ensure the intellectual quality of the student experience.</w:t>
      </w:r>
    </w:p>
    <w:p w:rsidR="001C202F" w:rsidRPr="00884548" w:rsidRDefault="001C202F" w:rsidP="001C202F">
      <w:pPr>
        <w:pStyle w:val="Heading2"/>
      </w:pPr>
      <w:bookmarkStart w:id="23" w:name="ExternalEvaluation2x2"/>
      <w:bookmarkStart w:id="24" w:name="section2x2ExternalEvaluation2x2"/>
      <w:bookmarkStart w:id="25" w:name="_Toc88509226"/>
      <w:bookmarkStart w:id="26" w:name="_Toc98513189"/>
      <w:bookmarkEnd w:id="23"/>
      <w:bookmarkEnd w:id="24"/>
      <w:r>
        <w:lastRenderedPageBreak/>
        <w:t>2.2</w:t>
      </w:r>
      <w:r>
        <w:tab/>
      </w:r>
      <w:r w:rsidRPr="00884548">
        <w:t xml:space="preserve">External </w:t>
      </w:r>
      <w:r w:rsidRPr="001259A8">
        <w:t>evaluation</w:t>
      </w:r>
      <w:bookmarkEnd w:id="25"/>
      <w:bookmarkEnd w:id="26"/>
    </w:p>
    <w:p w:rsidR="001C202F" w:rsidRPr="00884548" w:rsidRDefault="001C202F" w:rsidP="001C202F">
      <w:pPr>
        <w:pStyle w:val="Heading3-exclTOC"/>
      </w:pPr>
      <w:bookmarkStart w:id="27" w:name="ExternalPerspective"/>
      <w:r>
        <w:t>2.2.1</w:t>
      </w:r>
      <w:r>
        <w:tab/>
      </w:r>
      <w:r w:rsidRPr="001259A8">
        <w:t>External</w:t>
      </w:r>
      <w:r w:rsidRPr="00884548">
        <w:t xml:space="preserve"> perspective</w:t>
      </w:r>
    </w:p>
    <w:bookmarkEnd w:id="27"/>
    <w:p w:rsidR="001C202F" w:rsidRPr="00884548" w:rsidRDefault="001C202F" w:rsidP="001C202F">
      <w:pPr>
        <w:pStyle w:val="Body"/>
        <w:rPr>
          <w:lang w:val="en-US"/>
        </w:rPr>
      </w:pPr>
      <w:r w:rsidRPr="00884548">
        <w:rPr>
          <w:lang w:val="en-US"/>
        </w:rPr>
        <w:t xml:space="preserve">The IQAP will establish and describe the process for the selection and appointment of external reviewers and any others who will review the New Program Proposal (See suggested </w:t>
      </w:r>
      <w:hyperlink r:id="rId19" w:history="1">
        <w:r w:rsidRPr="00DA31F1">
          <w:rPr>
            <w:rStyle w:val="Hyperlink"/>
            <w:lang w:val="en-US"/>
          </w:rPr>
          <w:t>Template</w:t>
        </w:r>
      </w:hyperlink>
      <w:r w:rsidRPr="00884548">
        <w:rPr>
          <w:lang w:val="en-US"/>
        </w:rPr>
        <w:t>), as well as the adequacy of the administrative unit’s planned utilization of existing human</w:t>
      </w:r>
      <w:r w:rsidRPr="00884548">
        <w:rPr>
          <w:vertAlign w:val="superscript"/>
          <w:lang w:val="en-US"/>
        </w:rPr>
        <w:footnoteReference w:id="1"/>
      </w:r>
      <w:r w:rsidRPr="00884548">
        <w:rPr>
          <w:lang w:val="en-US"/>
        </w:rPr>
        <w:t>, physical and financial resources.</w:t>
      </w:r>
    </w:p>
    <w:p w:rsidR="001C202F" w:rsidRPr="00884548" w:rsidRDefault="001C202F" w:rsidP="001C202F">
      <w:pPr>
        <w:pStyle w:val="Body"/>
        <w:rPr>
          <w:lang w:val="en-US"/>
        </w:rPr>
      </w:pPr>
      <w:r w:rsidRPr="00884548">
        <w:rPr>
          <w:lang w:val="en-US"/>
        </w:rPr>
        <w:t xml:space="preserve">At least two external reviewers are required for new undergraduate and graduate programs. The university may also include an additional internal member from within the university, but from outside the discipline (or interdisciplinary group) engaged in the proposed program, to participate in the review process. (See </w:t>
      </w:r>
      <w:hyperlink r:id="rId20" w:history="1">
        <w:r w:rsidRPr="00DA31F1">
          <w:rPr>
            <w:rStyle w:val="Hyperlink"/>
            <w:lang w:val="en-US"/>
          </w:rPr>
          <w:t>Guidance</w:t>
        </w:r>
      </w:hyperlink>
      <w:r w:rsidRPr="00884548">
        <w:rPr>
          <w:lang w:val="en-US"/>
        </w:rPr>
        <w:t>)</w:t>
      </w:r>
    </w:p>
    <w:p w:rsidR="001C202F" w:rsidRPr="00884548" w:rsidRDefault="001C202F" w:rsidP="001C202F">
      <w:pPr>
        <w:pStyle w:val="Body"/>
        <w:rPr>
          <w:lang w:val="en-US"/>
        </w:rPr>
      </w:pPr>
      <w:r w:rsidRPr="00884548">
        <w:rPr>
          <w:lang w:val="en-US"/>
        </w:rPr>
        <w:t xml:space="preserve">External review of a new Program Proposal will normally be conducted on-site, but the Provost (or delegate) may propose that the review be conducted by desk review (see </w:t>
      </w:r>
      <w:hyperlink w:anchor="DeskReviewDefinition" w:history="1">
        <w:r w:rsidRPr="00884548">
          <w:rPr>
            <w:rStyle w:val="Hyperlink"/>
            <w:lang w:val="en-US"/>
          </w:rPr>
          <w:t>Definition</w:t>
        </w:r>
      </w:hyperlink>
      <w:r w:rsidRPr="00884548">
        <w:rPr>
          <w:lang w:val="en-US"/>
        </w:rPr>
        <w:t xml:space="preserve">), virtual site visit (see </w:t>
      </w:r>
      <w:hyperlink w:anchor="VirtualSiteVisitDefinition" w:history="1">
        <w:r w:rsidRPr="00884548">
          <w:rPr>
            <w:rStyle w:val="Hyperlink"/>
            <w:lang w:val="en-US"/>
          </w:rPr>
          <w:t>Definition</w:t>
        </w:r>
      </w:hyperlink>
      <w:r w:rsidRPr="00884548">
        <w:rPr>
          <w:lang w:val="en-US"/>
        </w:rPr>
        <w:t xml:space="preserve">) or an equivalent method if the external reviewers are satisfied that the off-site option is acceptable (see </w:t>
      </w:r>
      <w:hyperlink r:id="rId21" w:history="1">
        <w:r w:rsidRPr="00CC48A6">
          <w:rPr>
            <w:rStyle w:val="Hyperlink"/>
            <w:lang w:val="en-US"/>
          </w:rPr>
          <w:t>Guidance</w:t>
        </w:r>
      </w:hyperlink>
      <w:r w:rsidRPr="00884548">
        <w:rPr>
          <w:lang w:val="en-US"/>
        </w:rPr>
        <w:t>). The Provost (or delegate) will also provide a clear justification for the decision to use these alternatives.</w:t>
      </w:r>
    </w:p>
    <w:p w:rsidR="001C202F" w:rsidRPr="00884548" w:rsidRDefault="001C202F" w:rsidP="001C202F">
      <w:pPr>
        <w:pStyle w:val="Body"/>
        <w:rPr>
          <w:lang w:val="en-US"/>
        </w:rPr>
      </w:pPr>
      <w:r w:rsidRPr="00884548">
        <w:rPr>
          <w:lang w:val="en-US"/>
        </w:rPr>
        <w:t xml:space="preserve">The external reviewers—normally associate or full professors, or the equivalent—will have suitable disciplinary expertise, qualifications and program management experience, including an appreciation of pedagogy and learning outcomes, and will be at arm’s length from the program under review. (See </w:t>
      </w:r>
      <w:hyperlink r:id="rId22" w:history="1">
        <w:r w:rsidRPr="00CC48A6">
          <w:rPr>
            <w:rStyle w:val="Hyperlink"/>
            <w:lang w:val="en-US"/>
          </w:rPr>
          <w:t>Guidance</w:t>
        </w:r>
      </w:hyperlink>
      <w:r w:rsidRPr="00884548">
        <w:rPr>
          <w:lang w:val="en-US"/>
        </w:rPr>
        <w:t xml:space="preserve"> for suggestions on the selection of reviewers and for a definition of arm’s length.)</w:t>
      </w:r>
    </w:p>
    <w:p w:rsidR="001C202F" w:rsidRPr="00884548" w:rsidRDefault="001C202F" w:rsidP="001C202F">
      <w:pPr>
        <w:pStyle w:val="Heading3-exclTOC"/>
      </w:pPr>
      <w:r>
        <w:t>2.2.2</w:t>
      </w:r>
      <w:r>
        <w:tab/>
      </w:r>
      <w:r w:rsidRPr="00884548">
        <w:t xml:space="preserve">External </w:t>
      </w:r>
      <w:r w:rsidRPr="00016D78">
        <w:t>Review</w:t>
      </w:r>
      <w:r w:rsidRPr="00884548">
        <w:t xml:space="preserve"> </w:t>
      </w:r>
      <w:r w:rsidRPr="001259A8">
        <w:t>Report</w:t>
      </w:r>
    </w:p>
    <w:p w:rsidR="001C202F" w:rsidRPr="00884548" w:rsidRDefault="001C202F" w:rsidP="001C202F">
      <w:pPr>
        <w:pStyle w:val="Body"/>
        <w:rPr>
          <w:lang w:val="en-US"/>
        </w:rPr>
      </w:pPr>
      <w:r w:rsidRPr="00884548">
        <w:rPr>
          <w:lang w:val="en-US"/>
        </w:rPr>
        <w:t>The External Review Report(s) (preferably one joint report, where circumstances permit) will:</w:t>
      </w:r>
    </w:p>
    <w:p w:rsidR="001C202F" w:rsidRPr="001259A8" w:rsidRDefault="001C202F" w:rsidP="001C202F">
      <w:pPr>
        <w:pStyle w:val="Listletters"/>
        <w:numPr>
          <w:ilvl w:val="0"/>
          <w:numId w:val="31"/>
        </w:numPr>
      </w:pPr>
      <w:r w:rsidRPr="001259A8">
        <w:t>Address the substance of the New Program Proposal;</w:t>
      </w:r>
    </w:p>
    <w:p w:rsidR="001C202F" w:rsidRPr="001259A8" w:rsidRDefault="001C202F" w:rsidP="001C202F">
      <w:pPr>
        <w:pStyle w:val="Listletters"/>
      </w:pPr>
      <w:r w:rsidRPr="001259A8">
        <w:t xml:space="preserve">Respond to the evaluation criteria set out in Framework </w:t>
      </w:r>
      <w:hyperlink w:anchor="EvaluationCriteria2x1x2" w:history="1">
        <w:r w:rsidRPr="001259A8">
          <w:rPr>
            <w:rStyle w:val="Hyperlink"/>
          </w:rPr>
          <w:t>Section 2.1.2</w:t>
        </w:r>
      </w:hyperlink>
      <w:r w:rsidRPr="001259A8">
        <w:t xml:space="preserve"> (see also </w:t>
      </w:r>
      <w:hyperlink r:id="rId23" w:history="1">
        <w:r w:rsidRPr="00CC48A6">
          <w:rPr>
            <w:rStyle w:val="Hyperlink"/>
          </w:rPr>
          <w:t>Guidance</w:t>
        </w:r>
      </w:hyperlink>
      <w:r>
        <w:rPr>
          <w:rStyle w:val="CommentReference"/>
        </w:rPr>
        <w:t xml:space="preserve"> </w:t>
      </w:r>
      <w:r w:rsidRPr="001259A8">
        <w:t xml:space="preserve">as well as the suggested </w:t>
      </w:r>
      <w:hyperlink r:id="rId24" w:history="1">
        <w:r w:rsidRPr="00DA31F1">
          <w:rPr>
            <w:rStyle w:val="Hyperlink"/>
          </w:rPr>
          <w:t>template</w:t>
        </w:r>
      </w:hyperlink>
      <w:r w:rsidRPr="001259A8">
        <w:t xml:space="preserve"> for the External Review Report);</w:t>
      </w:r>
    </w:p>
    <w:p w:rsidR="001C202F" w:rsidRPr="001259A8" w:rsidRDefault="001C202F" w:rsidP="001C202F">
      <w:pPr>
        <w:pStyle w:val="Listletters"/>
      </w:pPr>
      <w:r w:rsidRPr="001259A8">
        <w:t>Comment on the adequacy of existing physical, human</w:t>
      </w:r>
      <w:r w:rsidRPr="008F37AE">
        <w:rPr>
          <w:vertAlign w:val="superscript"/>
        </w:rPr>
        <w:footnoteReference w:id="2"/>
      </w:r>
      <w:r w:rsidRPr="001259A8">
        <w:t xml:space="preserve"> and financial resources; and</w:t>
      </w:r>
    </w:p>
    <w:p w:rsidR="001C202F" w:rsidRDefault="001C202F" w:rsidP="001C202F">
      <w:pPr>
        <w:pStyle w:val="Listletters"/>
      </w:pPr>
      <w:r w:rsidRPr="001259A8">
        <w:t xml:space="preserve">Acknowledge any clearly innovative aspects of the proposed program together with recommendations on any essential or otherwise desirable modifications to it. </w:t>
      </w:r>
    </w:p>
    <w:p w:rsidR="001C202F" w:rsidRPr="004C5A9C" w:rsidRDefault="001C202F" w:rsidP="001C202F">
      <w:pPr>
        <w:pStyle w:val="Heading2"/>
      </w:pPr>
      <w:bookmarkStart w:id="29" w:name="_Toc88509227"/>
      <w:bookmarkStart w:id="30" w:name="_Toc98513190"/>
      <w:r>
        <w:t>2.3</w:t>
      </w:r>
      <w:r>
        <w:tab/>
      </w:r>
      <w:bookmarkStart w:id="31" w:name="InternalPerspective2x3"/>
      <w:bookmarkEnd w:id="31"/>
      <w:r w:rsidRPr="004C5A9C">
        <w:t>Internal perspective</w:t>
      </w:r>
      <w:bookmarkEnd w:id="29"/>
      <w:bookmarkEnd w:id="30"/>
    </w:p>
    <w:p w:rsidR="001C202F" w:rsidRPr="004C5A9C" w:rsidRDefault="001C202F" w:rsidP="001C202F">
      <w:pPr>
        <w:pStyle w:val="Heading3-exclTOC"/>
      </w:pPr>
      <w:r>
        <w:t>2.3.1</w:t>
      </w:r>
      <w:r>
        <w:tab/>
      </w:r>
      <w:r w:rsidRPr="004C5A9C">
        <w:t>Internal response</w:t>
      </w:r>
    </w:p>
    <w:p w:rsidR="001C202F" w:rsidRPr="004C5A9C" w:rsidRDefault="001C202F" w:rsidP="001C202F">
      <w:pPr>
        <w:pStyle w:val="Body"/>
        <w:rPr>
          <w:lang w:val="en-US"/>
        </w:rPr>
      </w:pPr>
      <w:bookmarkStart w:id="32" w:name="_Hlk61965048"/>
      <w:r w:rsidRPr="004C5A9C">
        <w:rPr>
          <w:lang w:val="en-US"/>
        </w:rPr>
        <w:t>It is essential that the proposing academic unit and the relevant Dean(s) or their designate(s)/Divisional Head make clearly separate responses to the External Review Report and recommendations. An exception to this requirement for separate responses is in the case of</w:t>
      </w:r>
      <w:r>
        <w:rPr>
          <w:lang w:val="en-US"/>
        </w:rPr>
        <w:t xml:space="preserve"> a</w:t>
      </w:r>
      <w:r w:rsidRPr="004C5A9C">
        <w:rPr>
          <w:lang w:val="en-US"/>
        </w:rPr>
        <w:t xml:space="preserve"> single-department Faculty (or equivalent), where the Dean (or equivalent) is essentially the Divisional Head. Any subsequent amendments to the New Program Proposal should be made through track changes or detailed elsewhere.</w:t>
      </w:r>
    </w:p>
    <w:p w:rsidR="001C202F" w:rsidRPr="004C5A9C" w:rsidRDefault="001C202F" w:rsidP="001C202F">
      <w:pPr>
        <w:pStyle w:val="Heading2"/>
      </w:pPr>
      <w:bookmarkStart w:id="33" w:name="InstitutionalApproval"/>
      <w:bookmarkStart w:id="34" w:name="_Toc88509228"/>
      <w:bookmarkStart w:id="35" w:name="_Toc98513191"/>
      <w:bookmarkEnd w:id="32"/>
      <w:bookmarkEnd w:id="33"/>
      <w:r>
        <w:lastRenderedPageBreak/>
        <w:t xml:space="preserve">2.4 </w:t>
      </w:r>
      <w:r>
        <w:tab/>
      </w:r>
      <w:r w:rsidRPr="004C5A9C">
        <w:t>Institutional approval</w:t>
      </w:r>
      <w:bookmarkEnd w:id="34"/>
      <w:bookmarkEnd w:id="35"/>
    </w:p>
    <w:p w:rsidR="001C202F" w:rsidRPr="004C5A9C" w:rsidRDefault="001C202F" w:rsidP="001C202F">
      <w:pPr>
        <w:pStyle w:val="Body"/>
        <w:rPr>
          <w:lang w:val="en-US"/>
        </w:rPr>
      </w:pPr>
      <w:r w:rsidRPr="004C5A9C">
        <w:rPr>
          <w:lang w:val="en-US"/>
        </w:rPr>
        <w:t xml:space="preserve">Based on the Proposal, the External Review Report(s) and the internal responses to both, and in </w:t>
      </w:r>
      <w:r w:rsidRPr="004C5A9C">
        <w:t>accordance</w:t>
      </w:r>
      <w:r w:rsidRPr="004C5A9C">
        <w:rPr>
          <w:lang w:val="en-US"/>
        </w:rPr>
        <w:t xml:space="preserve"> with the IQAP, the university will determine whether the Proposal meets its quality assurance standards and is thus acceptable or not, or needs further modification.</w:t>
      </w:r>
    </w:p>
    <w:p w:rsidR="001C202F" w:rsidRPr="004C5A9C" w:rsidRDefault="001C202F" w:rsidP="001C202F">
      <w:pPr>
        <w:pStyle w:val="Heading2"/>
      </w:pPr>
      <w:bookmarkStart w:id="36" w:name="_Toc88509229"/>
      <w:bookmarkStart w:id="37" w:name="_Toc98513192"/>
      <w:r>
        <w:t>2.5</w:t>
      </w:r>
      <w:r>
        <w:tab/>
      </w:r>
      <w:r w:rsidRPr="004C5A9C">
        <w:t>Submission of New Program Proposal to the Quality Assurance Secretariat</w:t>
      </w:r>
      <w:bookmarkEnd w:id="36"/>
      <w:bookmarkEnd w:id="37"/>
      <w:r w:rsidRPr="004C5A9C">
        <w:tab/>
      </w:r>
    </w:p>
    <w:p w:rsidR="001C202F" w:rsidRPr="004C5A9C" w:rsidRDefault="001C202F" w:rsidP="001C202F">
      <w:pPr>
        <w:pStyle w:val="Body"/>
        <w:rPr>
          <w:lang w:val="en-US"/>
        </w:rPr>
      </w:pPr>
      <w:r w:rsidRPr="004C5A9C">
        <w:rPr>
          <w:lang w:val="en-US"/>
        </w:rPr>
        <w:t xml:space="preserve">After completion of any other requirements of its IQAP, the university will submit the Proposal, </w:t>
      </w:r>
      <w:r w:rsidRPr="004C5A9C">
        <w:t>together</w:t>
      </w:r>
      <w:r w:rsidRPr="004C5A9C">
        <w:rPr>
          <w:lang w:val="en-US"/>
        </w:rPr>
        <w:t xml:space="preserve"> with all required reports and documents</w:t>
      </w:r>
      <w:r w:rsidRPr="004C5A9C">
        <w:rPr>
          <w:vertAlign w:val="superscript"/>
          <w:lang w:val="en-US"/>
        </w:rPr>
        <w:footnoteReference w:id="3"/>
      </w:r>
      <w:r w:rsidRPr="004C5A9C">
        <w:rPr>
          <w:lang w:val="en-US"/>
        </w:rPr>
        <w:t>, to the Quality Assurance Secretariat. The submission checklist will require information on whether or not the proposed program will be a cost-recovery program. The same standards and protocols apply regardless of the source of funding. The submission will further include a brief commentary on the two external reviewers selected to review the proposed program in regard to their qualifications in the following areas:</w:t>
      </w:r>
    </w:p>
    <w:p w:rsidR="001C202F" w:rsidRPr="004C5A9C" w:rsidRDefault="001C202F" w:rsidP="001C202F">
      <w:pPr>
        <w:pStyle w:val="ListBullet"/>
        <w:rPr>
          <w:lang w:val="en-US"/>
        </w:rPr>
      </w:pPr>
      <w:r w:rsidRPr="004C5A9C">
        <w:rPr>
          <w:lang w:val="en-US"/>
        </w:rPr>
        <w:t>Sufficient expertise in content and program delivery;</w:t>
      </w:r>
    </w:p>
    <w:p w:rsidR="001C202F" w:rsidRPr="004C5A9C" w:rsidRDefault="001C202F" w:rsidP="001C202F">
      <w:pPr>
        <w:pStyle w:val="ListBullet"/>
        <w:rPr>
          <w:lang w:val="en-US"/>
        </w:rPr>
      </w:pPr>
      <w:r w:rsidRPr="004C5A9C">
        <w:rPr>
          <w:lang w:val="en-US"/>
        </w:rPr>
        <w:t>Appropriate connections to industry (where appropriate); and</w:t>
      </w:r>
    </w:p>
    <w:p w:rsidR="001C202F" w:rsidRPr="004C5A9C" w:rsidRDefault="001C202F" w:rsidP="001C202F">
      <w:pPr>
        <w:pStyle w:val="ListBullet"/>
        <w:rPr>
          <w:lang w:val="en-US"/>
        </w:rPr>
      </w:pPr>
      <w:r w:rsidRPr="004C5A9C">
        <w:rPr>
          <w:lang w:val="en-US"/>
        </w:rPr>
        <w:t>Expertise in teaching and learning.</w:t>
      </w:r>
    </w:p>
    <w:p w:rsidR="001C202F" w:rsidRPr="004C5A9C" w:rsidRDefault="001C202F" w:rsidP="001C202F">
      <w:pPr>
        <w:pStyle w:val="Heading2"/>
      </w:pPr>
      <w:bookmarkStart w:id="38" w:name="_Toc88509230"/>
      <w:bookmarkStart w:id="39" w:name="_Toc98513193"/>
      <w:r>
        <w:t>2.6</w:t>
      </w:r>
      <w:r>
        <w:tab/>
      </w:r>
      <w:r w:rsidRPr="004C5A9C">
        <w:t>Initial appraisal process</w:t>
      </w:r>
      <w:bookmarkEnd w:id="38"/>
      <w:bookmarkEnd w:id="39"/>
    </w:p>
    <w:p w:rsidR="001C202F" w:rsidRPr="004C5A9C" w:rsidRDefault="001C202F" w:rsidP="001C202F">
      <w:pPr>
        <w:pStyle w:val="Heading3-exclTOC"/>
      </w:pPr>
      <w:r>
        <w:t xml:space="preserve">2.6.1 </w:t>
      </w:r>
      <w:r>
        <w:tab/>
      </w:r>
      <w:r w:rsidRPr="004C5A9C">
        <w:t>Secretariat check</w:t>
      </w:r>
    </w:p>
    <w:p w:rsidR="001C202F" w:rsidRPr="004C5A9C" w:rsidRDefault="001C202F" w:rsidP="001C202F">
      <w:pPr>
        <w:pStyle w:val="Body"/>
        <w:rPr>
          <w:lang w:val="en-US"/>
        </w:rPr>
      </w:pPr>
      <w:r w:rsidRPr="004C5A9C">
        <w:rPr>
          <w:lang w:val="en-US"/>
        </w:rPr>
        <w:t xml:space="preserve">The Quality Assurance Secretariat will confirm that the Proposal and associated reports and internal responses to them (as set out in Framework </w:t>
      </w:r>
      <w:hyperlink w:anchor="ExternalEvaluation2x2" w:history="1">
        <w:r w:rsidRPr="004C5A9C">
          <w:rPr>
            <w:rStyle w:val="Hyperlink"/>
            <w:lang w:val="en-US"/>
          </w:rPr>
          <w:t>Sections 2.2</w:t>
        </w:r>
      </w:hyperlink>
      <w:r w:rsidRPr="004C5A9C">
        <w:rPr>
          <w:lang w:val="en-US"/>
        </w:rPr>
        <w:t xml:space="preserve"> – </w:t>
      </w:r>
      <w:hyperlink w:anchor="InstitutionalApproval" w:history="1">
        <w:r w:rsidRPr="004C5A9C">
          <w:rPr>
            <w:rStyle w:val="Hyperlink"/>
            <w:lang w:val="en-US"/>
          </w:rPr>
          <w:t>2.4</w:t>
        </w:r>
      </w:hyperlink>
      <w:r w:rsidRPr="004C5A9C">
        <w:rPr>
          <w:lang w:val="en-US"/>
        </w:rPr>
        <w:t xml:space="preserve"> above) are included in the submission. If there is missing information or defects of substance, the Quality Assurance </w:t>
      </w:r>
      <w:r w:rsidRPr="004C5A9C">
        <w:t>Secretariat</w:t>
      </w:r>
      <w:r w:rsidRPr="004C5A9C">
        <w:rPr>
          <w:lang w:val="en-US"/>
        </w:rPr>
        <w:t xml:space="preserve"> will return the Proposal to the university for revision or amendment and resubmission. Otherwise, the Proposal and accompanying documents will be forwarded directly to the Quality Council Appraisal Committee.</w:t>
      </w:r>
    </w:p>
    <w:p w:rsidR="001C202F" w:rsidRPr="004C5A9C" w:rsidRDefault="001C202F" w:rsidP="001C202F">
      <w:pPr>
        <w:pStyle w:val="Heading3-exclTOC"/>
      </w:pPr>
      <w:r>
        <w:t xml:space="preserve">2.6.2 </w:t>
      </w:r>
      <w:r>
        <w:tab/>
      </w:r>
      <w:r w:rsidRPr="004C5A9C">
        <w:t>Appraisal Committee reviews and recommends</w:t>
      </w:r>
    </w:p>
    <w:p w:rsidR="001C202F" w:rsidRPr="004C5A9C" w:rsidRDefault="001C202F" w:rsidP="001C202F">
      <w:pPr>
        <w:pStyle w:val="Body"/>
        <w:rPr>
          <w:lang w:val="en-US"/>
        </w:rPr>
      </w:pPr>
      <w:r w:rsidRPr="004C5A9C">
        <w:rPr>
          <w:lang w:val="en-US"/>
        </w:rPr>
        <w:t xml:space="preserve">The Quality Council’s Appraisal Committee will focus its review on the following </w:t>
      </w:r>
      <w:r w:rsidRPr="004C5A9C">
        <w:t>elements</w:t>
      </w:r>
      <w:r w:rsidRPr="004C5A9C">
        <w:rPr>
          <w:lang w:val="en-US"/>
        </w:rPr>
        <w:t xml:space="preserve"> of the submission:</w:t>
      </w:r>
    </w:p>
    <w:p w:rsidR="001C202F" w:rsidRPr="004C5A9C" w:rsidRDefault="001C202F" w:rsidP="001C202F">
      <w:pPr>
        <w:pStyle w:val="Listletters"/>
        <w:numPr>
          <w:ilvl w:val="0"/>
          <w:numId w:val="32"/>
        </w:numPr>
      </w:pPr>
      <w:r w:rsidRPr="004C5A9C">
        <w:t>Overall sufficiency of the External Review Report(s);</w:t>
      </w:r>
    </w:p>
    <w:p w:rsidR="001C202F" w:rsidRPr="004C5A9C" w:rsidRDefault="001C202F" w:rsidP="001C202F">
      <w:pPr>
        <w:pStyle w:val="Listletters"/>
      </w:pPr>
      <w:r w:rsidRPr="004C5A9C">
        <w:t>Recommendations and suggestions made by the external reviewers, including on the sufficiency and quality of the planned human, physical and financial resources;</w:t>
      </w:r>
    </w:p>
    <w:p w:rsidR="001C202F" w:rsidRPr="004C5A9C" w:rsidRDefault="001C202F" w:rsidP="001C202F">
      <w:pPr>
        <w:pStyle w:val="Listletters"/>
      </w:pPr>
      <w:r w:rsidRPr="004C5A9C">
        <w:t xml:space="preserve">Adequacy of the internal responses by the unit and Dean(s) to the recommendations, or otherwise for </w:t>
      </w:r>
      <w:r>
        <w:t xml:space="preserve">a </w:t>
      </w:r>
      <w:r w:rsidRPr="004C5A9C">
        <w:t>single department Faculty; and</w:t>
      </w:r>
    </w:p>
    <w:p w:rsidR="001C202F" w:rsidRPr="004C5A9C" w:rsidRDefault="001C202F" w:rsidP="001C202F">
      <w:pPr>
        <w:pStyle w:val="Listletters"/>
      </w:pPr>
      <w:r w:rsidRPr="004C5A9C">
        <w:t xml:space="preserve">Adequacy of the proposed methods for Assessment of Teaching and Learning given the proposed program’s structure, objectives, program-level learning outcomes and assessment methods. (See </w:t>
      </w:r>
      <w:hyperlink w:anchor="AssessmentTeachLearn2x1x2x4" w:history="1">
        <w:r w:rsidRPr="00DD5083">
          <w:rPr>
            <w:rStyle w:val="Hyperlink"/>
          </w:rPr>
          <w:t>Evaluation Criteria 2.1.2.4 a) and b</w:t>
        </w:r>
      </w:hyperlink>
      <w:r w:rsidRPr="00DD5083">
        <w:rPr>
          <w:rStyle w:val="Hyperlink"/>
        </w:rPr>
        <w:t>)</w:t>
      </w:r>
      <w:r w:rsidRPr="004C5A9C">
        <w:t>)</w:t>
      </w:r>
    </w:p>
    <w:p w:rsidR="001C202F" w:rsidRPr="004C5A9C" w:rsidRDefault="001C202F" w:rsidP="001C202F">
      <w:pPr>
        <w:pStyle w:val="Body"/>
        <w:rPr>
          <w:lang w:val="en-US"/>
        </w:rPr>
      </w:pPr>
      <w:r w:rsidRPr="004C5A9C">
        <w:rPr>
          <w:lang w:val="en-US"/>
        </w:rPr>
        <w:t>Based on this review, the Committee may seek further information from the university</w:t>
      </w:r>
      <w:r w:rsidRPr="004C5A9C">
        <w:rPr>
          <w:vertAlign w:val="superscript"/>
          <w:lang w:val="en-US"/>
        </w:rPr>
        <w:footnoteReference w:id="4"/>
      </w:r>
      <w:r w:rsidRPr="004C5A9C">
        <w:rPr>
          <w:lang w:val="en-US"/>
        </w:rPr>
        <w:t xml:space="preserve">, in which case it will provide a rationale for the requested information. Requests for and responses to </w:t>
      </w:r>
      <w:r w:rsidRPr="004C5A9C">
        <w:t>additional</w:t>
      </w:r>
      <w:r w:rsidRPr="004C5A9C">
        <w:rPr>
          <w:lang w:val="en-US"/>
        </w:rPr>
        <w:t xml:space="preserve"> information will normally be in the </w:t>
      </w:r>
      <w:r w:rsidRPr="004C5A9C">
        <w:rPr>
          <w:lang w:val="en-US"/>
        </w:rPr>
        <w:lastRenderedPageBreak/>
        <w:t>form of written correspondence but teleconference or in-person meetings between the university and the Appraisal Committee may also be considered in order to expedite the process.</w:t>
      </w:r>
    </w:p>
    <w:p w:rsidR="001C202F" w:rsidRPr="004C5A9C" w:rsidRDefault="001C202F" w:rsidP="001C202F">
      <w:pPr>
        <w:pStyle w:val="Body"/>
      </w:pPr>
      <w:r w:rsidRPr="004C5A9C">
        <w:t>In rare instances, the Appraisal Committee may determine that the original external review was inadequate and therefore invite further input from an external expert, either through desk review, or in person or virtual site visit.</w:t>
      </w:r>
    </w:p>
    <w:p w:rsidR="001C202F" w:rsidRPr="004C5A9C" w:rsidRDefault="001C202F" w:rsidP="001C202F">
      <w:pPr>
        <w:pStyle w:val="Body"/>
      </w:pPr>
      <w:r w:rsidRPr="004C5A9C">
        <w:t xml:space="preserve">If no further information is required, the Appraisal Committee will make a recommendation to the Quality Council. The Quality Assurance Secretariat will convey the proposed recommendation of the Appraisal Committee to the university (see </w:t>
      </w:r>
      <w:hyperlink w:anchor="Section2x7x1UnivMayConsult" w:history="1">
        <w:r w:rsidRPr="00DD5083">
          <w:rPr>
            <w:rStyle w:val="Hyperlink"/>
          </w:rPr>
          <w:t>Section 2.7.1</w:t>
        </w:r>
      </w:hyperlink>
      <w:r w:rsidRPr="004C5A9C">
        <w:t xml:space="preserve"> below).</w:t>
      </w:r>
    </w:p>
    <w:p w:rsidR="001C202F" w:rsidRPr="004C5A9C" w:rsidRDefault="001C202F" w:rsidP="001C202F">
      <w:pPr>
        <w:pStyle w:val="Heading3-exclTOC"/>
      </w:pPr>
      <w:bookmarkStart w:id="40" w:name="Section2x6x3QCDecision"/>
      <w:bookmarkStart w:id="41" w:name="_2.6.3_Quality_Council"/>
      <w:bookmarkEnd w:id="40"/>
      <w:bookmarkEnd w:id="41"/>
      <w:r>
        <w:t>2.6.3</w:t>
      </w:r>
      <w:r>
        <w:tab/>
      </w:r>
      <w:r w:rsidRPr="004C5A9C">
        <w:t>Quality Council decision</w:t>
      </w:r>
    </w:p>
    <w:p w:rsidR="001C202F" w:rsidRPr="004C5A9C" w:rsidRDefault="001C202F" w:rsidP="001C202F">
      <w:pPr>
        <w:pStyle w:val="Body"/>
        <w:rPr>
          <w:lang w:val="en-US"/>
        </w:rPr>
      </w:pPr>
      <w:r w:rsidRPr="004C5A9C">
        <w:rPr>
          <w:lang w:val="en-US"/>
        </w:rPr>
        <w:t xml:space="preserve">After </w:t>
      </w:r>
      <w:r w:rsidRPr="004C5A9C">
        <w:t>considering</w:t>
      </w:r>
      <w:r w:rsidRPr="004C5A9C">
        <w:rPr>
          <w:lang w:val="en-US"/>
        </w:rPr>
        <w:t xml:space="preserve"> the recommendation of the Appraisal Committee, the Quality Council will make one of the following decisions:</w:t>
      </w:r>
    </w:p>
    <w:p w:rsidR="001C202F" w:rsidRPr="004C5A9C" w:rsidRDefault="001C202F" w:rsidP="001C202F">
      <w:pPr>
        <w:pStyle w:val="Listletters"/>
        <w:numPr>
          <w:ilvl w:val="0"/>
          <w:numId w:val="33"/>
        </w:numPr>
      </w:pPr>
      <w:r w:rsidRPr="004C5A9C">
        <w:t>Approved to commence</w:t>
      </w:r>
      <w:bookmarkStart w:id="42" w:name="_Ref52368310"/>
      <w:r w:rsidRPr="00FB38C3">
        <w:rPr>
          <w:vertAlign w:val="superscript"/>
        </w:rPr>
        <w:footnoteReference w:id="5"/>
      </w:r>
      <w:bookmarkEnd w:id="42"/>
      <w:r w:rsidRPr="004C5A9C">
        <w:t>;</w:t>
      </w:r>
    </w:p>
    <w:p w:rsidR="001C202F" w:rsidRPr="004C5A9C" w:rsidRDefault="001C202F" w:rsidP="001C202F">
      <w:pPr>
        <w:pStyle w:val="Listletters"/>
      </w:pPr>
      <w:r w:rsidRPr="004C5A9C">
        <w:t>Approved to commence, with report;</w:t>
      </w:r>
      <w:r w:rsidRPr="00FB38C3">
        <w:rPr>
          <w:vertAlign w:val="superscript"/>
        </w:rPr>
        <w:t xml:space="preserve"> </w:t>
      </w:r>
      <w:bookmarkStart w:id="43" w:name="_Ref52368967"/>
      <w:r w:rsidRPr="00FB38C3">
        <w:rPr>
          <w:vertAlign w:val="superscript"/>
        </w:rPr>
        <w:footnoteReference w:id="6"/>
      </w:r>
      <w:bookmarkEnd w:id="43"/>
    </w:p>
    <w:p w:rsidR="001C202F" w:rsidRPr="004C5A9C" w:rsidRDefault="001C202F" w:rsidP="001C202F">
      <w:pPr>
        <w:pStyle w:val="Listletters"/>
      </w:pPr>
      <w:r w:rsidRPr="004C5A9C">
        <w:t xml:space="preserve">Deferred for up to one year during which time the university may address identified issues and report back; </w:t>
      </w:r>
    </w:p>
    <w:p w:rsidR="001C202F" w:rsidRPr="004C5A9C" w:rsidRDefault="001C202F" w:rsidP="001C202F">
      <w:pPr>
        <w:pStyle w:val="Listletters"/>
      </w:pPr>
      <w:r w:rsidRPr="004C5A9C">
        <w:t>Not approved; or</w:t>
      </w:r>
    </w:p>
    <w:p w:rsidR="001C202F" w:rsidRPr="004C5A9C" w:rsidRDefault="001C202F" w:rsidP="001C202F">
      <w:pPr>
        <w:pStyle w:val="Listletters"/>
      </w:pPr>
      <w:r w:rsidRPr="004C5A9C">
        <w:t>Such other action as the Quality Council considers reasonable and appropriate in the circumstances.</w:t>
      </w:r>
    </w:p>
    <w:p w:rsidR="001C202F" w:rsidRPr="004C5A9C" w:rsidRDefault="001C202F" w:rsidP="001C202F">
      <w:pPr>
        <w:pStyle w:val="Body"/>
      </w:pPr>
      <w:r w:rsidRPr="004C5A9C">
        <w:t>Reports on new programs will only be required when significant additional action, such as a large number of new hires and/or other new resources, are required to assure the quality of the program.</w:t>
      </w:r>
    </w:p>
    <w:p w:rsidR="001C202F" w:rsidRPr="004C5A9C" w:rsidRDefault="001C202F" w:rsidP="001C202F">
      <w:pPr>
        <w:pStyle w:val="Body"/>
      </w:pPr>
      <w:r w:rsidRPr="004C5A9C">
        <w:t>The decision of the Quality Council will normally be made within 45 days of receipt of the university’s submission, provided that the submission is complete and in good order, and that no further information or external expert advice is required. Where additional information is required by the Appraisal Committee, one of the four possible recommendations (see above) to the Council will be made within a further 30 days of receipt of a satisfactory response. The Quality Assurance Secretariat will convey the decision of the Quality Council to the university.</w:t>
      </w:r>
    </w:p>
    <w:p w:rsidR="001C202F" w:rsidRPr="004C5A9C" w:rsidRDefault="001C202F" w:rsidP="001C202F">
      <w:pPr>
        <w:pStyle w:val="Heading2"/>
      </w:pPr>
      <w:bookmarkStart w:id="45" w:name="_2.7_Public_announcement"/>
      <w:bookmarkStart w:id="46" w:name="_Toc88509231"/>
      <w:bookmarkStart w:id="47" w:name="_Toc98513194"/>
      <w:bookmarkEnd w:id="45"/>
      <w:r>
        <w:t>2.7</w:t>
      </w:r>
      <w:r>
        <w:tab/>
      </w:r>
      <w:r w:rsidRPr="004C5A9C">
        <w:t xml:space="preserve">Public </w:t>
      </w:r>
      <w:r w:rsidRPr="00820608">
        <w:t>announcement</w:t>
      </w:r>
      <w:r w:rsidRPr="004C5A9C">
        <w:t xml:space="preserve"> of new </w:t>
      </w:r>
      <w:r w:rsidRPr="00820608">
        <w:t>programs</w:t>
      </w:r>
      <w:bookmarkEnd w:id="46"/>
      <w:bookmarkEnd w:id="47"/>
    </w:p>
    <w:p w:rsidR="001C202F" w:rsidRPr="004C5A9C" w:rsidRDefault="001C202F" w:rsidP="001C202F">
      <w:pPr>
        <w:pStyle w:val="Body"/>
      </w:pPr>
      <w:r w:rsidRPr="004C5A9C">
        <w:t xml:space="preserve">Subject to approval by the university’s senior academic officer (e.g. Provost and Vice-President Academic), a university may publicly announce its intention to offer a new undergraduate or graduate program in advance of receiving approval by the </w:t>
      </w:r>
      <w:r w:rsidRPr="009453E1">
        <w:t>Quality</w:t>
      </w:r>
      <w:r w:rsidRPr="004C5A9C">
        <w:t xml:space="preserve"> Council. When such announcements are made at this stage, they must contain the following statement: “Prospective students are advised that the program is still subject to formal approval.”</w:t>
      </w:r>
    </w:p>
    <w:p w:rsidR="001C202F" w:rsidRPr="004C5A9C" w:rsidRDefault="001C202F" w:rsidP="001C202F">
      <w:pPr>
        <w:pStyle w:val="Heading3-exclTOC"/>
      </w:pPr>
      <w:bookmarkStart w:id="48" w:name="Section2x7x1UnivMayConsult"/>
      <w:bookmarkStart w:id="49" w:name="UniMayConsult"/>
      <w:bookmarkEnd w:id="48"/>
      <w:r>
        <w:t>2.7.1</w:t>
      </w:r>
      <w:r>
        <w:tab/>
      </w:r>
      <w:r w:rsidRPr="004C5A9C">
        <w:t>University may consult with/request a reconsideration of the Appraisal Committee</w:t>
      </w:r>
    </w:p>
    <w:bookmarkEnd w:id="49"/>
    <w:p w:rsidR="001C202F" w:rsidRPr="004C5A9C" w:rsidRDefault="001C202F" w:rsidP="001C202F">
      <w:pPr>
        <w:pStyle w:val="Body"/>
        <w:rPr>
          <w:lang w:val="en-US"/>
        </w:rPr>
      </w:pPr>
      <w:r w:rsidRPr="004C5A9C">
        <w:rPr>
          <w:lang w:val="en-US"/>
        </w:rPr>
        <w:t xml:space="preserve">When the recommendation is one of b), c), or d) in 2.6.3 above, the proposing university may, within 30 days, request a meeting with and/or reconsideration by the Appraisal Committee. Normally, reconsiderations will only be considered if the university is providing new information, or if there were errors of fact in the Appraisal Committee’s </w:t>
      </w:r>
      <w:r w:rsidRPr="004C5A9C">
        <w:rPr>
          <w:lang w:val="en-US"/>
        </w:rPr>
        <w:lastRenderedPageBreak/>
        <w:t>commentary, or there were errors of process. Following such communication, the Appraisal Committee will revisit and may revise its assessment. Its final recommendation will be conveyed to the university and the Quality Council by the Quality Assurance Secretariat.</w:t>
      </w:r>
    </w:p>
    <w:p w:rsidR="001C202F" w:rsidRPr="004C5A9C" w:rsidRDefault="001C202F" w:rsidP="001C202F">
      <w:pPr>
        <w:pStyle w:val="Heading3-exclTOC"/>
      </w:pPr>
      <w:bookmarkStart w:id="50" w:name="_2.7.2_University_may"/>
      <w:bookmarkEnd w:id="50"/>
      <w:r>
        <w:t>2.7.2</w:t>
      </w:r>
      <w:r>
        <w:tab/>
      </w:r>
      <w:r w:rsidRPr="004C5A9C">
        <w:t>University may appeal to Council</w:t>
      </w:r>
    </w:p>
    <w:p w:rsidR="001C202F" w:rsidRPr="004C5A9C" w:rsidRDefault="001C202F" w:rsidP="001C202F">
      <w:pPr>
        <w:pStyle w:val="Body"/>
        <w:rPr>
          <w:lang w:val="en-US"/>
        </w:rPr>
      </w:pPr>
      <w:r w:rsidRPr="004C5A9C">
        <w:rPr>
          <w:lang w:val="en-US"/>
        </w:rPr>
        <w:t>When the recommendation is one of b), c), or d) in 2.6.3 above, the proposing university may, within 30 days, submit an appeal to the Quality Council. Having received and considered the Appraisal Committee’s final assessment and recommendation, any additional comments from the university on the assessment, and further, having reviewed any requested appeal from the university on matters of fact, procedure, public policy concerns, or questions of fairness, the Council makes one of the following decisions:</w:t>
      </w:r>
    </w:p>
    <w:p w:rsidR="001C202F" w:rsidRPr="009453E1" w:rsidRDefault="001C202F" w:rsidP="001C202F">
      <w:pPr>
        <w:pStyle w:val="Listletters"/>
        <w:numPr>
          <w:ilvl w:val="0"/>
          <w:numId w:val="34"/>
        </w:numPr>
      </w:pPr>
      <w:r w:rsidRPr="009453E1">
        <w:t>Approved to commence</w:t>
      </w:r>
      <w:r w:rsidRPr="00CD6CD1">
        <w:rPr>
          <w:vertAlign w:val="superscript"/>
        </w:rPr>
        <w:fldChar w:fldCharType="begin"/>
      </w:r>
      <w:r w:rsidRPr="00CD6CD1">
        <w:rPr>
          <w:vertAlign w:val="superscript"/>
        </w:rPr>
        <w:instrText xml:space="preserve"> NOTEREF _Ref52368310 \h </w:instrText>
      </w:r>
      <w:r>
        <w:rPr>
          <w:vertAlign w:val="superscript"/>
        </w:rPr>
        <w:instrText xml:space="preserve"> \* MERGEFORMAT </w:instrText>
      </w:r>
      <w:r w:rsidRPr="00CD6CD1">
        <w:rPr>
          <w:vertAlign w:val="superscript"/>
        </w:rPr>
      </w:r>
      <w:r w:rsidRPr="00CD6CD1">
        <w:rPr>
          <w:vertAlign w:val="superscript"/>
        </w:rPr>
        <w:fldChar w:fldCharType="separate"/>
      </w:r>
      <w:r>
        <w:rPr>
          <w:vertAlign w:val="superscript"/>
        </w:rPr>
        <w:t>8</w:t>
      </w:r>
      <w:r w:rsidRPr="00CD6CD1">
        <w:rPr>
          <w:vertAlign w:val="superscript"/>
        </w:rPr>
        <w:fldChar w:fldCharType="end"/>
      </w:r>
      <w:r w:rsidRPr="009453E1">
        <w:t>;</w:t>
      </w:r>
    </w:p>
    <w:p w:rsidR="001C202F" w:rsidRPr="009453E1" w:rsidRDefault="001C202F" w:rsidP="001C202F">
      <w:pPr>
        <w:pStyle w:val="Listletters"/>
      </w:pPr>
      <w:r w:rsidRPr="009453E1">
        <w:t>Approved to commence, with report</w:t>
      </w:r>
      <w:r w:rsidRPr="00CD6CD1">
        <w:rPr>
          <w:vertAlign w:val="superscript"/>
        </w:rPr>
        <w:fldChar w:fldCharType="begin"/>
      </w:r>
      <w:r w:rsidRPr="00CD6CD1">
        <w:rPr>
          <w:vertAlign w:val="superscript"/>
        </w:rPr>
        <w:instrText xml:space="preserve"> NOTEREF _Ref52368967 \h </w:instrText>
      </w:r>
      <w:r>
        <w:rPr>
          <w:vertAlign w:val="superscript"/>
        </w:rPr>
        <w:instrText xml:space="preserve"> \* MERGEFORMAT </w:instrText>
      </w:r>
      <w:r w:rsidRPr="00CD6CD1">
        <w:rPr>
          <w:vertAlign w:val="superscript"/>
        </w:rPr>
      </w:r>
      <w:r w:rsidRPr="00CD6CD1">
        <w:rPr>
          <w:vertAlign w:val="superscript"/>
        </w:rPr>
        <w:fldChar w:fldCharType="separate"/>
      </w:r>
      <w:r>
        <w:rPr>
          <w:vertAlign w:val="superscript"/>
        </w:rPr>
        <w:t>9</w:t>
      </w:r>
      <w:r w:rsidRPr="00CD6CD1">
        <w:rPr>
          <w:vertAlign w:val="superscript"/>
        </w:rPr>
        <w:fldChar w:fldCharType="end"/>
      </w:r>
      <w:r w:rsidRPr="009453E1">
        <w:t>;</w:t>
      </w:r>
    </w:p>
    <w:p w:rsidR="001C202F" w:rsidRPr="009453E1" w:rsidRDefault="001C202F" w:rsidP="001C202F">
      <w:pPr>
        <w:pStyle w:val="Listletters"/>
      </w:pPr>
      <w:r w:rsidRPr="009453E1">
        <w:t>Deferred for up to one year, affording the university an opportunity to amend and resubmit its Proposal; or</w:t>
      </w:r>
    </w:p>
    <w:p w:rsidR="001C202F" w:rsidRPr="009453E1" w:rsidRDefault="001C202F" w:rsidP="001C202F">
      <w:pPr>
        <w:pStyle w:val="Listletters"/>
      </w:pPr>
      <w:r w:rsidRPr="009453E1">
        <w:t>Not approved.</w:t>
      </w:r>
    </w:p>
    <w:p w:rsidR="001C202F" w:rsidRPr="009453E1" w:rsidRDefault="001C202F" w:rsidP="001C202F">
      <w:pPr>
        <w:pStyle w:val="Body"/>
      </w:pPr>
      <w:r w:rsidRPr="004C5A9C">
        <w:rPr>
          <w:lang w:val="en-US"/>
        </w:rPr>
        <w:t xml:space="preserve">Decisions of </w:t>
      </w:r>
      <w:r w:rsidRPr="009453E1">
        <w:t>the Quality Council are final and binding.</w:t>
      </w:r>
    </w:p>
    <w:p w:rsidR="001C202F" w:rsidRPr="004C5A9C" w:rsidRDefault="001C202F" w:rsidP="001C202F">
      <w:pPr>
        <w:pStyle w:val="Body"/>
        <w:rPr>
          <w:lang w:val="en-US"/>
        </w:rPr>
      </w:pPr>
      <w:r w:rsidRPr="009453E1">
        <w:t>If the Quality Council chooses option c), the Appraisal Committee suspends the assessment process until the university has re</w:t>
      </w:r>
      <w:r w:rsidRPr="004C5A9C">
        <w:rPr>
          <w:lang w:val="en-US"/>
        </w:rPr>
        <w:t xml:space="preserve">submitted its revised Proposal. After this, the Appraisal Committee reactivates its appraisal process (see </w:t>
      </w:r>
      <w:hyperlink w:anchor="Section2x6x3QCDecision" w:history="1">
        <w:r w:rsidRPr="004C5A9C">
          <w:rPr>
            <w:rStyle w:val="Hyperlink"/>
            <w:lang w:val="en-US"/>
          </w:rPr>
          <w:t>Section 2.6.3</w:t>
        </w:r>
      </w:hyperlink>
      <w:r w:rsidRPr="004C5A9C">
        <w:rPr>
          <w:lang w:val="en-US"/>
        </w:rPr>
        <w:t xml:space="preserve"> above). When the Appraisal Committee does not receive a response within the specified period, it considers the Proposal to have been withdrawn.</w:t>
      </w:r>
    </w:p>
    <w:p w:rsidR="001C202F" w:rsidRPr="004C5A9C" w:rsidRDefault="001C202F" w:rsidP="001C202F">
      <w:pPr>
        <w:pStyle w:val="Heading3-exclTOC"/>
      </w:pPr>
      <w:r>
        <w:t>2.7.3</w:t>
      </w:r>
      <w:r>
        <w:tab/>
      </w:r>
      <w:r w:rsidRPr="004C5A9C">
        <w:t>Council reports decision</w:t>
      </w:r>
    </w:p>
    <w:p w:rsidR="001C202F" w:rsidRPr="004C5A9C" w:rsidRDefault="001C202F" w:rsidP="001C202F">
      <w:pPr>
        <w:pStyle w:val="Body"/>
        <w:rPr>
          <w:i/>
          <w:lang w:val="en-US"/>
        </w:rPr>
      </w:pPr>
      <w:r w:rsidRPr="004C5A9C">
        <w:rPr>
          <w:lang w:val="en-US"/>
        </w:rPr>
        <w:t xml:space="preserve">The Quality Council conveys its decision to the university through the designated contact, and reports it for information to </w:t>
      </w:r>
      <w:r w:rsidRPr="005220B3">
        <w:rPr>
          <w:lang w:val="en-US"/>
        </w:rPr>
        <w:t>OCAV and to the Ministry of Colleges and Universities (MCU).</w:t>
      </w:r>
      <w:r w:rsidRPr="004C5A9C">
        <w:rPr>
          <w:lang w:val="en-US"/>
        </w:rPr>
        <w:t xml:space="preserve"> The Quality Council and the university post information about decisions on approval to commence new programs on their respective websites, together with a brief description of the program. Only at this point may universities make offers of admission to the program.</w:t>
      </w:r>
    </w:p>
    <w:p w:rsidR="001C202F" w:rsidRPr="004C5A9C" w:rsidRDefault="001C202F" w:rsidP="001C202F">
      <w:pPr>
        <w:pStyle w:val="Heading3-exclTOC"/>
      </w:pPr>
      <w:r>
        <w:t>2.7.4</w:t>
      </w:r>
      <w:r>
        <w:tab/>
      </w:r>
      <w:r w:rsidRPr="004C5A9C">
        <w:t>Waiting period before resubmission</w:t>
      </w:r>
    </w:p>
    <w:p w:rsidR="001C202F" w:rsidRPr="004C5A9C" w:rsidRDefault="001C202F" w:rsidP="001C202F">
      <w:pPr>
        <w:pStyle w:val="Body"/>
        <w:rPr>
          <w:lang w:val="en-US"/>
        </w:rPr>
      </w:pPr>
      <w:r w:rsidRPr="004C5A9C">
        <w:rPr>
          <w:lang w:val="en-US"/>
        </w:rPr>
        <w:t>To allow time for revisions to proposals, any university declined permission to proceed at this stage (</w:t>
      </w:r>
      <w:bookmarkStart w:id="51" w:name="Section6x3FocusedAudit"/>
      <w:r>
        <w:rPr>
          <w:lang w:val="en-US"/>
        </w:rPr>
        <w:fldChar w:fldCharType="begin"/>
      </w:r>
      <w:r>
        <w:rPr>
          <w:lang w:val="en-US"/>
        </w:rPr>
        <w:instrText>HYPERLINK  \l "_2.6.3_Quality_Council"</w:instrText>
      </w:r>
      <w:r>
        <w:rPr>
          <w:lang w:val="en-US"/>
        </w:rPr>
        <w:fldChar w:fldCharType="separate"/>
      </w:r>
      <w:r w:rsidRPr="005850BF">
        <w:rPr>
          <w:rStyle w:val="Hyperlink"/>
          <w:lang w:val="en-US"/>
        </w:rPr>
        <w:t>2.6.3 c</w:t>
      </w:r>
      <w:bookmarkEnd w:id="51"/>
      <w:r>
        <w:rPr>
          <w:lang w:val="en-US"/>
        </w:rPr>
        <w:fldChar w:fldCharType="end"/>
      </w:r>
      <w:r w:rsidRPr="004C5A9C">
        <w:rPr>
          <w:lang w:val="en-US"/>
        </w:rPr>
        <w:t>)) of the process, or following a denied appeal of the decision (</w:t>
      </w:r>
      <w:hyperlink w:anchor="_2.7.2_University_may" w:history="1">
        <w:r w:rsidRPr="005850BF">
          <w:rPr>
            <w:rStyle w:val="Hyperlink"/>
            <w:lang w:val="en-US"/>
          </w:rPr>
          <w:t>2.7.2 c</w:t>
        </w:r>
      </w:hyperlink>
      <w:r w:rsidRPr="004C5A9C">
        <w:rPr>
          <w:lang w:val="en-US"/>
        </w:rPr>
        <w:t>)), will normally wait until one year has elapsed from the date of the Quality Council’s decision before resubmitting a revised version of its Proposal. The same waiting period normally applies when a university does not resubmit a deferred New Program Proposal within the specified period.</w:t>
      </w:r>
    </w:p>
    <w:p w:rsidR="001C202F" w:rsidRPr="004C5A9C" w:rsidRDefault="001C202F" w:rsidP="001C202F">
      <w:pPr>
        <w:pStyle w:val="Heading2"/>
      </w:pPr>
      <w:bookmarkStart w:id="52" w:name="_Toc88509232"/>
      <w:bookmarkStart w:id="53" w:name="_Toc98513195"/>
      <w:r>
        <w:t>2.8</w:t>
      </w:r>
      <w:r>
        <w:tab/>
      </w:r>
      <w:r w:rsidRPr="004C5A9C">
        <w:t>Subsequent appraisal process</w:t>
      </w:r>
      <w:bookmarkEnd w:id="52"/>
      <w:bookmarkEnd w:id="53"/>
    </w:p>
    <w:p w:rsidR="001C202F" w:rsidRPr="004C5A9C" w:rsidRDefault="001C202F" w:rsidP="001C202F">
      <w:pPr>
        <w:pStyle w:val="Heading3-exclTOC"/>
      </w:pPr>
      <w:r>
        <w:t>2.8.1</w:t>
      </w:r>
      <w:r>
        <w:tab/>
      </w:r>
      <w:r w:rsidRPr="004C5A9C">
        <w:t>With report appraisal</w:t>
      </w:r>
    </w:p>
    <w:p w:rsidR="001C202F" w:rsidRPr="004C5A9C" w:rsidRDefault="001C202F" w:rsidP="001C202F">
      <w:pPr>
        <w:pStyle w:val="Body"/>
        <w:rPr>
          <w:lang w:val="en-US"/>
        </w:rPr>
      </w:pPr>
      <w:r w:rsidRPr="004C5A9C">
        <w:rPr>
          <w:lang w:val="en-US"/>
        </w:rPr>
        <w:t xml:space="preserve">When a university has been given approval to commence a program </w:t>
      </w:r>
      <w:r w:rsidRPr="004C5A9C">
        <w:rPr>
          <w:i/>
          <w:lang w:val="en-US"/>
        </w:rPr>
        <w:t>with report,</w:t>
      </w:r>
      <w:r w:rsidRPr="004C5A9C">
        <w:rPr>
          <w:lang w:val="en-US"/>
        </w:rPr>
        <w:t xml:space="preserve"> the Appraisal Committee reviews the subsequently submitted report, conducts whatever consultation it requires, and then makes one of the following recommendations to the Council that the program be:</w:t>
      </w:r>
    </w:p>
    <w:p w:rsidR="001C202F" w:rsidRPr="00EF5959" w:rsidRDefault="001C202F" w:rsidP="001C202F">
      <w:pPr>
        <w:pStyle w:val="Listletters"/>
        <w:numPr>
          <w:ilvl w:val="0"/>
          <w:numId w:val="35"/>
        </w:numPr>
      </w:pPr>
      <w:r w:rsidRPr="00EF5959">
        <w:t>Approved to continue without condition;</w:t>
      </w:r>
    </w:p>
    <w:p w:rsidR="001C202F" w:rsidRPr="00EF5959" w:rsidRDefault="001C202F" w:rsidP="001C202F">
      <w:pPr>
        <w:pStyle w:val="Listletters"/>
      </w:pPr>
      <w:r w:rsidRPr="00EF5959">
        <w:t>Approved to continue, but the Council requires additional follow-up and report within a specified period, prior to the initial cyclical review; or</w:t>
      </w:r>
    </w:p>
    <w:p w:rsidR="001C202F" w:rsidRPr="00EF5959" w:rsidRDefault="001C202F" w:rsidP="001C202F">
      <w:pPr>
        <w:pStyle w:val="Listletters"/>
      </w:pPr>
      <w:r w:rsidRPr="00EF5959">
        <w:t>Required to suspend admissions for a minimum of two years. The Quality Council will then specify the conditions to be met in the interim in order for admissions to the program to resume.</w:t>
      </w:r>
    </w:p>
    <w:p w:rsidR="001C202F" w:rsidRPr="004C5A9C" w:rsidRDefault="001C202F" w:rsidP="001C202F">
      <w:pPr>
        <w:pStyle w:val="Body"/>
        <w:rPr>
          <w:b/>
          <w:lang w:val="en-US"/>
        </w:rPr>
      </w:pPr>
      <w:r w:rsidRPr="004C5A9C">
        <w:rPr>
          <w:lang w:val="en-US"/>
        </w:rPr>
        <w:lastRenderedPageBreak/>
        <w:t xml:space="preserve">The university may </w:t>
      </w:r>
      <w:r w:rsidRPr="00EF5959">
        <w:t>request</w:t>
      </w:r>
      <w:r w:rsidRPr="004C5A9C">
        <w:rPr>
          <w:lang w:val="en-US"/>
        </w:rPr>
        <w:t xml:space="preserve"> a reconsideration, to the Quality Council, of the decision</w:t>
      </w:r>
      <w:r w:rsidRPr="004C5A9C">
        <w:rPr>
          <w:b/>
          <w:i/>
          <w:lang w:val="en-US"/>
        </w:rPr>
        <w:t xml:space="preserve"> </w:t>
      </w:r>
      <w:r w:rsidRPr="004C5A9C">
        <w:rPr>
          <w:lang w:val="en-US"/>
        </w:rPr>
        <w:t>to suspend admissions to the program, on the same terms as are set out in Framework</w:t>
      </w:r>
      <w:r>
        <w:rPr>
          <w:lang w:val="en-US"/>
        </w:rPr>
        <w:t xml:space="preserve"> </w:t>
      </w:r>
      <w:hyperlink w:anchor="UniMayConsult" w:history="1">
        <w:r w:rsidRPr="00011B9C">
          <w:rPr>
            <w:rStyle w:val="Hyperlink"/>
            <w:lang w:val="en-US"/>
          </w:rPr>
          <w:t>Section 2.6.3</w:t>
        </w:r>
      </w:hyperlink>
      <w:r>
        <w:rPr>
          <w:lang w:val="en-US"/>
        </w:rPr>
        <w:t xml:space="preserve"> </w:t>
      </w:r>
      <w:r w:rsidRPr="004C5A9C">
        <w:rPr>
          <w:lang w:val="en-US"/>
        </w:rPr>
        <w:t>above (</w:t>
      </w:r>
      <w:r w:rsidRPr="004C5A9C">
        <w:rPr>
          <w:i/>
          <w:lang w:val="en-US"/>
        </w:rPr>
        <w:t>i.e.</w:t>
      </w:r>
      <w:r w:rsidRPr="004C5A9C">
        <w:rPr>
          <w:lang w:val="en-US"/>
        </w:rPr>
        <w:t>, the university will be providing new information; and/or there were errors of fact in the Appraisal Committee’s commentary; and/or there were errors of process).</w:t>
      </w:r>
    </w:p>
    <w:p w:rsidR="001C202F" w:rsidRPr="004C5A9C" w:rsidRDefault="001C202F" w:rsidP="001C202F">
      <w:pPr>
        <w:pStyle w:val="Heading3-exclTOC"/>
      </w:pPr>
      <w:r>
        <w:t>2.8.2</w:t>
      </w:r>
      <w:r>
        <w:tab/>
      </w:r>
      <w:r w:rsidRPr="004C5A9C">
        <w:t xml:space="preserve">Council hears </w:t>
      </w:r>
      <w:r w:rsidRPr="004C5A9C">
        <w:rPr>
          <w:i/>
        </w:rPr>
        <w:t>with report</w:t>
      </w:r>
      <w:r w:rsidRPr="004C5A9C">
        <w:t xml:space="preserve"> appeal. Council decides</w:t>
      </w:r>
    </w:p>
    <w:p w:rsidR="001C202F" w:rsidRPr="004C5A9C" w:rsidRDefault="001C202F" w:rsidP="001C202F">
      <w:pPr>
        <w:pStyle w:val="Body"/>
        <w:rPr>
          <w:lang w:val="en-US"/>
        </w:rPr>
      </w:pPr>
      <w:r w:rsidRPr="004C5A9C">
        <w:rPr>
          <w:lang w:val="en-US"/>
        </w:rPr>
        <w:t xml:space="preserve">Having received and considered the Appraisal Committee’s recommendation, and the </w:t>
      </w:r>
      <w:r w:rsidRPr="005F6C68">
        <w:t>university’s</w:t>
      </w:r>
      <w:r w:rsidRPr="004C5A9C">
        <w:rPr>
          <w:lang w:val="en-US"/>
        </w:rPr>
        <w:t xml:space="preserve"> appeal, if any, the Quality Council may decide either to:</w:t>
      </w:r>
    </w:p>
    <w:p w:rsidR="001C202F" w:rsidRPr="005F6C68" w:rsidRDefault="001C202F" w:rsidP="001C202F">
      <w:pPr>
        <w:pStyle w:val="Listletters"/>
        <w:numPr>
          <w:ilvl w:val="0"/>
          <w:numId w:val="36"/>
        </w:numPr>
      </w:pPr>
      <w:r w:rsidRPr="005F6C68">
        <w:t>Approve the program without condition;</w:t>
      </w:r>
    </w:p>
    <w:p w:rsidR="001C202F" w:rsidRPr="005F6C68" w:rsidRDefault="001C202F" w:rsidP="001C202F">
      <w:pPr>
        <w:pStyle w:val="Listletters"/>
      </w:pPr>
      <w:r w:rsidRPr="005F6C68">
        <w:t>Approve the program with a further report; or</w:t>
      </w:r>
    </w:p>
    <w:p w:rsidR="001C202F" w:rsidRPr="005F6C68" w:rsidRDefault="001C202F" w:rsidP="001C202F">
      <w:pPr>
        <w:pStyle w:val="Listletters"/>
      </w:pPr>
      <w:r w:rsidRPr="005F6C68">
        <w:t>Require the program to suspend admissions for a minimum of two years. The Quality Assurance Secretariat conveys the decision to the university, and reports it to OCAV and to MCU for information.</w:t>
      </w:r>
    </w:p>
    <w:p w:rsidR="001C202F" w:rsidRPr="004C5A9C" w:rsidRDefault="001C202F" w:rsidP="001C202F">
      <w:pPr>
        <w:pStyle w:val="Body"/>
        <w:rPr>
          <w:lang w:val="en-US"/>
        </w:rPr>
      </w:pPr>
      <w:r w:rsidRPr="004C5A9C">
        <w:rPr>
          <w:lang w:val="en-US"/>
        </w:rPr>
        <w:t xml:space="preserve">Decisions of the Quality Council are final and </w:t>
      </w:r>
      <w:r w:rsidRPr="005F6C68">
        <w:t>binding</w:t>
      </w:r>
      <w:r w:rsidRPr="004C5A9C">
        <w:rPr>
          <w:lang w:val="en-US"/>
        </w:rPr>
        <w:t>.</w:t>
      </w:r>
    </w:p>
    <w:p w:rsidR="001C202F" w:rsidRPr="004C5A9C" w:rsidRDefault="001C202F" w:rsidP="001C202F">
      <w:pPr>
        <w:pStyle w:val="Heading2"/>
      </w:pPr>
      <w:bookmarkStart w:id="54" w:name="_Toc88509233"/>
      <w:bookmarkStart w:id="55" w:name="_Toc98513196"/>
      <w:r>
        <w:t>2.9</w:t>
      </w:r>
      <w:r>
        <w:tab/>
      </w:r>
      <w:r w:rsidRPr="004C5A9C">
        <w:t>Subsequent institutional process</w:t>
      </w:r>
      <w:bookmarkEnd w:id="54"/>
      <w:bookmarkEnd w:id="55"/>
    </w:p>
    <w:p w:rsidR="001C202F" w:rsidRPr="004C5A9C" w:rsidRDefault="001C202F" w:rsidP="001C202F">
      <w:pPr>
        <w:pStyle w:val="Heading3-exclTOC"/>
      </w:pPr>
      <w:r>
        <w:t>2.9.1</w:t>
      </w:r>
      <w:r>
        <w:tab/>
      </w:r>
      <w:r w:rsidRPr="003A280E">
        <w:t>Implementation</w:t>
      </w:r>
      <w:r w:rsidRPr="004C5A9C">
        <w:t xml:space="preserve"> window</w:t>
      </w:r>
    </w:p>
    <w:p w:rsidR="001C202F" w:rsidRPr="004C5A9C" w:rsidRDefault="001C202F" w:rsidP="001C202F">
      <w:pPr>
        <w:pStyle w:val="Body"/>
        <w:rPr>
          <w:lang w:val="en-US"/>
        </w:rPr>
      </w:pPr>
      <w:r w:rsidRPr="004C5A9C">
        <w:rPr>
          <w:lang w:val="en-US"/>
        </w:rPr>
        <w:t xml:space="preserve">After a new program is approved to commence, the program will begin within 36 months of that date of approval; otherwise, the </w:t>
      </w:r>
      <w:r w:rsidRPr="003A280E">
        <w:t>approval</w:t>
      </w:r>
      <w:r w:rsidRPr="004C5A9C">
        <w:rPr>
          <w:lang w:val="en-US"/>
        </w:rPr>
        <w:t xml:space="preserve"> will lapse.</w:t>
      </w:r>
    </w:p>
    <w:p w:rsidR="001C202F" w:rsidRPr="004C5A9C" w:rsidRDefault="001C202F" w:rsidP="001C202F">
      <w:pPr>
        <w:pStyle w:val="Heading3-exclTOC"/>
      </w:pPr>
      <w:bookmarkStart w:id="56" w:name="Section2x9x2Monitoring"/>
      <w:bookmarkStart w:id="57" w:name="_Hlk62038653"/>
      <w:bookmarkEnd w:id="56"/>
      <w:r>
        <w:t>2.9.2</w:t>
      </w:r>
      <w:r>
        <w:tab/>
      </w:r>
      <w:r w:rsidRPr="004C5A9C">
        <w:t>Monitoring</w:t>
      </w:r>
    </w:p>
    <w:p w:rsidR="001C202F" w:rsidRPr="004C5A9C" w:rsidRDefault="001C202F" w:rsidP="001C202F">
      <w:pPr>
        <w:pStyle w:val="Body"/>
        <w:rPr>
          <w:lang w:val="en-US"/>
        </w:rPr>
      </w:pPr>
      <w:r w:rsidRPr="004C5A9C">
        <w:rPr>
          <w:lang w:val="en-US"/>
        </w:rPr>
        <w:t xml:space="preserve">The monitoring of a new program facilitates continuous improvement, which is an essential goal of quality assurance. The IQAP must therefore detail a formal process for the monitoring of new programs. Minimally, this monitoring process should include the requirement for an interim monitoring report to be produced between the program’s launch and its first cyclical review. This interim report should carefully evaluate the program’s success in realizing its objectives, requirements and outcomes, as originally proposed and approved, as well as any changes that have occurred in the interim, including in response to any Note(s) from the Appraisal Committee (see </w:t>
      </w:r>
      <w:hyperlink w:anchor="Footnote9" w:history="1">
        <w:r w:rsidRPr="004C5A9C">
          <w:rPr>
            <w:rStyle w:val="Hyperlink"/>
            <w:lang w:val="en-US"/>
          </w:rPr>
          <w:t xml:space="preserve">Footnote </w:t>
        </w:r>
        <w:r>
          <w:rPr>
            <w:rStyle w:val="Hyperlink"/>
            <w:lang w:val="en-US"/>
          </w:rPr>
          <w:t>9</w:t>
        </w:r>
      </w:hyperlink>
      <w:r w:rsidRPr="004C5A9C">
        <w:rPr>
          <w:lang w:val="en-US"/>
        </w:rPr>
        <w:t xml:space="preserve"> above).The monitoring process should also take into consideration the outcomes of the interim monitoring report and any additional areas to be considered in the first cyclical review of the new program.</w:t>
      </w:r>
    </w:p>
    <w:p w:rsidR="001C202F" w:rsidRPr="004C5A9C" w:rsidRDefault="001C202F" w:rsidP="001C202F">
      <w:pPr>
        <w:pStyle w:val="Heading3-exclTOC"/>
      </w:pPr>
      <w:bookmarkStart w:id="58" w:name="Section2x9x3FIrstCPR"/>
      <w:bookmarkEnd w:id="57"/>
      <w:bookmarkEnd w:id="58"/>
      <w:r>
        <w:t>2.9.3</w:t>
      </w:r>
      <w:r>
        <w:tab/>
      </w:r>
      <w:r w:rsidRPr="004C5A9C">
        <w:t>First cyclical review</w:t>
      </w:r>
    </w:p>
    <w:p w:rsidR="001C202F" w:rsidRPr="004C5A9C" w:rsidRDefault="001C202F" w:rsidP="001C202F">
      <w:pPr>
        <w:pStyle w:val="Body"/>
        <w:rPr>
          <w:lang w:val="en-US"/>
        </w:rPr>
      </w:pPr>
      <w:r w:rsidRPr="004C5A9C">
        <w:rPr>
          <w:lang w:val="en-US"/>
        </w:rPr>
        <w:t>The first cyclical review of any new program must be conducted no more than eight years after the date of the program’s initial enrolment.</w:t>
      </w:r>
    </w:p>
    <w:p w:rsidR="001C202F" w:rsidRPr="004C5A9C" w:rsidRDefault="001C202F" w:rsidP="001C202F">
      <w:pPr>
        <w:pStyle w:val="Heading3-exclTOC"/>
      </w:pPr>
      <w:r>
        <w:t>2.9.4</w:t>
      </w:r>
      <w:r>
        <w:tab/>
      </w:r>
      <w:r w:rsidRPr="004C5A9C">
        <w:t>Selection for Cyclical Audit</w:t>
      </w:r>
    </w:p>
    <w:p w:rsidR="001C202F" w:rsidRPr="004C5A9C" w:rsidRDefault="001C202F" w:rsidP="001C202F">
      <w:pPr>
        <w:pStyle w:val="Body"/>
        <w:rPr>
          <w:lang w:val="en-US"/>
        </w:rPr>
      </w:pPr>
      <w:r w:rsidRPr="004C5A9C">
        <w:rPr>
          <w:lang w:val="en-US"/>
        </w:rPr>
        <w:t xml:space="preserve">New undergraduate and/or graduate programs that have been approved within the period since the conduct of the previous Audit </w:t>
      </w:r>
      <w:r w:rsidRPr="003A280E">
        <w:t>are</w:t>
      </w:r>
      <w:r w:rsidRPr="004C5A9C">
        <w:rPr>
          <w:lang w:val="en-US"/>
        </w:rPr>
        <w:t xml:space="preserve"> eligible for selection for the university’s next Cyclical Audit (see </w:t>
      </w:r>
      <w:hyperlink w:anchor="ProtocolAudit" w:history="1">
        <w:r w:rsidRPr="004C5A9C">
          <w:rPr>
            <w:rStyle w:val="Hyperlink"/>
            <w:lang w:val="en-US"/>
          </w:rPr>
          <w:t>Audit Protocol</w:t>
        </w:r>
      </w:hyperlink>
      <w:r w:rsidRPr="004C5A9C">
        <w:rPr>
          <w:lang w:val="en-US"/>
        </w:rPr>
        <w:t>). An Audit cannot reverse the approval of a program to commence.</w:t>
      </w:r>
    </w:p>
    <w:p w:rsidR="00433C23" w:rsidRPr="0015776A" w:rsidRDefault="00433C23" w:rsidP="001C202F">
      <w:pPr>
        <w:pStyle w:val="Heading1"/>
        <w:keepLines w:val="0"/>
        <w:spacing w:before="0" w:after="400"/>
        <w:ind w:left="460" w:hanging="460"/>
        <w:jc w:val="left"/>
      </w:pPr>
      <w:bookmarkStart w:id="59" w:name="_Objectives"/>
      <w:bookmarkStart w:id="60" w:name="_Admission_requirements"/>
      <w:bookmarkStart w:id="61" w:name="Expedited"/>
      <w:bookmarkStart w:id="62" w:name="_Structure"/>
      <w:bookmarkStart w:id="63" w:name="_Program_content"/>
      <w:bookmarkStart w:id="64" w:name="_Mode_of_delivery"/>
      <w:bookmarkStart w:id="65" w:name="_Assessment_of_teaching"/>
      <w:bookmarkStart w:id="66" w:name="_Resources_for_all"/>
      <w:bookmarkStart w:id="67" w:name="_Resources_for_graduate"/>
      <w:bookmarkStart w:id="68" w:name="_Resources_for_undergraduate"/>
      <w:bookmarkStart w:id="69" w:name="_Quality_and_other"/>
      <w:bookmarkStart w:id="70" w:name="InitialInstitutionalProcess"/>
      <w:bookmarkStart w:id="71" w:name="_Program_Proposal_Brief"/>
      <w:bookmarkStart w:id="72" w:name="ExternalReviewers226"/>
      <w:bookmarkStart w:id="73" w:name="_External_reviewers"/>
      <w:bookmarkStart w:id="74" w:name="_Reviewers’_report"/>
      <w:bookmarkStart w:id="75" w:name="_Internal_response"/>
      <w:bookmarkStart w:id="76" w:name="_Quality_Council_Secretariat"/>
      <w:bookmarkStart w:id="77" w:name="ACReviewsandRecs"/>
      <w:bookmarkStart w:id="78" w:name="_Final_process"/>
      <w:bookmarkEnd w:id="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sectPr w:rsidR="00433C23" w:rsidRPr="0015776A">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CE2" w:rsidRDefault="00EB3CE2" w:rsidP="00263875">
      <w:pPr>
        <w:spacing w:after="0"/>
      </w:pPr>
      <w:r>
        <w:separator/>
      </w:r>
    </w:p>
    <w:p w:rsidR="00EB3CE2" w:rsidRDefault="00EB3CE2"/>
  </w:endnote>
  <w:endnote w:type="continuationSeparator" w:id="0">
    <w:p w:rsidR="00EB3CE2" w:rsidRDefault="00EB3CE2" w:rsidP="00263875">
      <w:pPr>
        <w:spacing w:after="0"/>
      </w:pPr>
      <w:r>
        <w:continuationSeparator/>
      </w:r>
    </w:p>
    <w:p w:rsidR="00EB3CE2" w:rsidRDefault="00EB3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altName w:val="Calibri"/>
    <w:charset w:val="4D"/>
    <w:family w:val="auto"/>
    <w:pitch w:val="variable"/>
    <w:sig w:usb0="2000020F" w:usb1="00000003" w:usb2="00000000" w:usb3="00000000" w:csb0="00000197"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Montserrat SemiBold">
    <w:altName w:val="Calibri"/>
    <w:charset w:val="4D"/>
    <w:family w:val="auto"/>
    <w:pitch w:val="variable"/>
    <w:sig w:usb0="2000020F" w:usb1="00000003" w:usb2="00000000" w:usb3="00000000" w:csb0="00000197" w:csb1="00000000"/>
  </w:font>
  <w:font w:name="Montserrat Medium">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CE2" w:rsidRDefault="00EB3CE2" w:rsidP="00263875">
      <w:pPr>
        <w:spacing w:after="0"/>
      </w:pPr>
      <w:r>
        <w:separator/>
      </w:r>
    </w:p>
    <w:p w:rsidR="00EB3CE2" w:rsidRDefault="00EB3CE2"/>
  </w:footnote>
  <w:footnote w:type="continuationSeparator" w:id="0">
    <w:p w:rsidR="00EB3CE2" w:rsidRDefault="00EB3CE2" w:rsidP="00263875">
      <w:pPr>
        <w:spacing w:after="0"/>
      </w:pPr>
      <w:r>
        <w:continuationSeparator/>
      </w:r>
    </w:p>
    <w:p w:rsidR="00EB3CE2" w:rsidRDefault="00EB3CE2"/>
  </w:footnote>
  <w:footnote w:id="1">
    <w:p w:rsidR="001C202F" w:rsidRPr="00C703D4" w:rsidRDefault="001C202F" w:rsidP="001C202F">
      <w:pPr>
        <w:pStyle w:val="FootnoteText"/>
        <w:rPr>
          <w:lang w:val="en-US"/>
        </w:rPr>
      </w:pPr>
      <w:r w:rsidRPr="00204993">
        <w:rPr>
          <w:rStyle w:val="FootnoteReference"/>
        </w:rPr>
        <w:footnoteRef/>
      </w:r>
      <w:r w:rsidRPr="00204993">
        <w:t xml:space="preserve"> </w:t>
      </w:r>
      <w:r>
        <w:t>All relevant faculty CVs must be provided to the external reviewers at the same time as the New Program Proposal.</w:t>
      </w:r>
    </w:p>
  </w:footnote>
  <w:footnote w:id="2">
    <w:p w:rsidR="001C202F" w:rsidRPr="003717E5" w:rsidRDefault="001C202F" w:rsidP="001C202F">
      <w:pPr>
        <w:pStyle w:val="FootnoteText"/>
        <w:rPr>
          <w:lang w:val="en-US"/>
        </w:rPr>
      </w:pPr>
      <w:r w:rsidRPr="00204993">
        <w:rPr>
          <w:rStyle w:val="FootnoteReference"/>
        </w:rPr>
        <w:footnoteRef/>
      </w:r>
      <w:r w:rsidRPr="00204993">
        <w:t xml:space="preserve"> </w:t>
      </w:r>
      <w:bookmarkStart w:id="28" w:name="Footnote5"/>
      <w:r>
        <w:rPr>
          <w:lang w:val="en-US"/>
        </w:rPr>
        <w:t xml:space="preserve">Based, in </w:t>
      </w:r>
      <w:bookmarkEnd w:id="28"/>
      <w:r>
        <w:rPr>
          <w:lang w:val="en-US"/>
        </w:rPr>
        <w:t>part, on the external reviewers’ assessment of the faculty members’ education, background, competence and expertise as evidenced in their CVs.</w:t>
      </w:r>
    </w:p>
  </w:footnote>
  <w:footnote w:id="3">
    <w:p w:rsidR="001C202F" w:rsidRPr="00FB38C3" w:rsidRDefault="001C202F" w:rsidP="001C202F">
      <w:pPr>
        <w:pStyle w:val="FootnoteText"/>
      </w:pPr>
      <w:r w:rsidRPr="00204993">
        <w:rPr>
          <w:rStyle w:val="FootnoteReference"/>
        </w:rPr>
        <w:footnoteRef/>
      </w:r>
      <w:r w:rsidRPr="00204993">
        <w:t xml:space="preserve"> </w:t>
      </w:r>
      <w:r w:rsidRPr="005E6BD3">
        <w:rPr>
          <w:lang w:val="en-US"/>
        </w:rPr>
        <w:t xml:space="preserve">Minimally, this must include the Proposal, the </w:t>
      </w:r>
      <w:r>
        <w:rPr>
          <w:lang w:val="en-US"/>
        </w:rPr>
        <w:t>e</w:t>
      </w:r>
      <w:r w:rsidRPr="005E6BD3">
        <w:rPr>
          <w:lang w:val="en-US"/>
        </w:rPr>
        <w:t xml:space="preserve">xternal </w:t>
      </w:r>
      <w:r>
        <w:rPr>
          <w:lang w:val="en-US"/>
        </w:rPr>
        <w:t>r</w:t>
      </w:r>
      <w:r w:rsidRPr="005E6BD3">
        <w:rPr>
          <w:lang w:val="en-US"/>
        </w:rPr>
        <w:t xml:space="preserve">eviewers’ </w:t>
      </w:r>
      <w:r>
        <w:rPr>
          <w:lang w:val="en-US"/>
        </w:rPr>
        <w:t>r</w:t>
      </w:r>
      <w:r w:rsidRPr="005E6BD3">
        <w:rPr>
          <w:lang w:val="en-US"/>
        </w:rPr>
        <w:t>eport, and the internal responses</w:t>
      </w:r>
      <w:r>
        <w:rPr>
          <w:lang w:val="en-US"/>
        </w:rPr>
        <w:t>, including date of university governance approval</w:t>
      </w:r>
      <w:r w:rsidRPr="005E6BD3">
        <w:rPr>
          <w:lang w:val="en-US"/>
        </w:rPr>
        <w:t>.</w:t>
      </w:r>
    </w:p>
  </w:footnote>
  <w:footnote w:id="4">
    <w:p w:rsidR="001C202F" w:rsidRPr="009453E1" w:rsidRDefault="001C202F" w:rsidP="001C202F">
      <w:pPr>
        <w:pStyle w:val="FootnoteText"/>
      </w:pPr>
      <w:r w:rsidRPr="009453E1">
        <w:rPr>
          <w:rStyle w:val="FootnoteReference"/>
        </w:rPr>
        <w:footnoteRef/>
      </w:r>
      <w:r w:rsidRPr="009453E1">
        <w:t xml:space="preserve"> This may include a request for the submission of faculty CVs if the external reviewers’ report does not provide sufficient commentary on evaluation criteria 2.1.2.6 a), d) and e). </w:t>
      </w:r>
    </w:p>
  </w:footnote>
  <w:footnote w:id="5">
    <w:p w:rsidR="001C202F" w:rsidRPr="009453E1" w:rsidRDefault="001C202F" w:rsidP="001C202F">
      <w:pPr>
        <w:pStyle w:val="FootnoteText"/>
      </w:pPr>
      <w:r w:rsidRPr="009453E1">
        <w:rPr>
          <w:rStyle w:val="FootnoteReference"/>
        </w:rPr>
        <w:footnoteRef/>
      </w:r>
      <w:r w:rsidRPr="009453E1">
        <w:t xml:space="preserve"> The Quality Council may provide a note regarding an issue(s) to be considered at the time of the program’s launch, or for its first cyclical program review, or for audit.</w:t>
      </w:r>
    </w:p>
  </w:footnote>
  <w:footnote w:id="6">
    <w:p w:rsidR="001C202F" w:rsidRPr="00843EDC" w:rsidRDefault="001C202F" w:rsidP="001C202F">
      <w:pPr>
        <w:pStyle w:val="FootnoteText"/>
        <w:rPr>
          <w:rFonts w:cs="Tahoma"/>
          <w:szCs w:val="16"/>
        </w:rPr>
      </w:pPr>
      <w:bookmarkStart w:id="44" w:name="Footnote9"/>
      <w:r w:rsidRPr="009453E1">
        <w:rPr>
          <w:rStyle w:val="FootnoteReference"/>
        </w:rPr>
        <w:footnoteRef/>
      </w:r>
      <w:bookmarkEnd w:id="44"/>
      <w:r w:rsidRPr="009453E1">
        <w:t xml:space="preserve"> The with report condition implies no lack of quality in the program at this point, importantly does not hold up the implementation of the new program, and is not subject to public reference on the Quality Council’s website. The requirement for a report is typically the result of a provision or facility not currently in place but considered essential for a successful program and planned for later implementation.</w:t>
      </w:r>
      <w:r w:rsidRPr="00843EDC">
        <w:rPr>
          <w:rFonts w:cs="Tahoma"/>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19E" w:rsidRDefault="0088519E" w:rsidP="0088519E">
    <w:pPr>
      <w:pStyle w:val="Header"/>
      <w:jc w:val="right"/>
    </w:pPr>
    <w:r>
      <w:t>Appendix 1: Extract from 20</w:t>
    </w:r>
    <w:r w:rsidR="001C202F">
      <w:t>21 QAF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EAB166"/>
    <w:lvl w:ilvl="0">
      <w:start w:val="1"/>
      <w:numFmt w:val="bullet"/>
      <w:pStyle w:val="ListBullet"/>
      <w:lvlText w:val=""/>
      <w:lvlJc w:val="left"/>
      <w:pPr>
        <w:tabs>
          <w:tab w:val="num" w:pos="340"/>
        </w:tabs>
        <w:ind w:left="340" w:hanging="340"/>
      </w:pPr>
      <w:rPr>
        <w:rFonts w:ascii="Symbol" w:hAnsi="Symbol" w:hint="default"/>
        <w:color w:val="000000" w:themeColor="text1"/>
        <w:sz w:val="16"/>
      </w:rPr>
    </w:lvl>
  </w:abstractNum>
  <w:abstractNum w:abstractNumId="1" w15:restartNumberingAfterBreak="0">
    <w:nsid w:val="009802ED"/>
    <w:multiLevelType w:val="hybridMultilevel"/>
    <w:tmpl w:val="DA987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 w15:restartNumberingAfterBreak="0">
    <w:nsid w:val="0C0D7F21"/>
    <w:multiLevelType w:val="hybridMultilevel"/>
    <w:tmpl w:val="C34270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444BD"/>
    <w:multiLevelType w:val="hybridMultilevel"/>
    <w:tmpl w:val="A37AF312"/>
    <w:lvl w:ilvl="0" w:tplc="9B1886A8">
      <w:start w:val="1"/>
      <w:numFmt w:val="lowerLetter"/>
      <w:lvlText w:val="%1)"/>
      <w:lvlJc w:val="left"/>
      <w:pPr>
        <w:tabs>
          <w:tab w:val="num" w:pos="360"/>
        </w:tabs>
        <w:ind w:left="360" w:hanging="360"/>
      </w:pPr>
      <w:rPr>
        <w:rFonts w:ascii="Tahoma" w:eastAsia="Times New Roman" w:hAnsi="Tahoma" w:cs="Tahoma" w:hint="default"/>
      </w:rPr>
    </w:lvl>
    <w:lvl w:ilvl="1" w:tplc="85C2DE6A">
      <w:start w:val="3"/>
      <w:numFmt w:val="decimal"/>
      <w:lvlText w:val="%2."/>
      <w:lvlJc w:val="left"/>
      <w:pPr>
        <w:tabs>
          <w:tab w:val="num" w:pos="1080"/>
        </w:tabs>
        <w:ind w:left="1080" w:hanging="360"/>
      </w:pPr>
      <w:rPr>
        <w:rFonts w:hint="default"/>
      </w:rPr>
    </w:lvl>
    <w:lvl w:ilvl="2" w:tplc="3D22C716">
      <w:start w:val="1"/>
      <w:numFmt w:val="lowerLetter"/>
      <w:lvlText w:val="%3)"/>
      <w:lvlJc w:val="left"/>
      <w:pPr>
        <w:tabs>
          <w:tab w:val="num" w:pos="1800"/>
        </w:tabs>
        <w:ind w:left="1800" w:hanging="360"/>
      </w:pPr>
      <w:rPr>
        <w:rFonts w:hint="default"/>
      </w:rPr>
    </w:lvl>
    <w:lvl w:ilvl="3" w:tplc="307EACC4">
      <w:start w:val="1"/>
      <w:numFmt w:val="lowerLetter"/>
      <w:lvlText w:val="%4)"/>
      <w:lvlJc w:val="left"/>
      <w:pPr>
        <w:tabs>
          <w:tab w:val="num" w:pos="2520"/>
        </w:tabs>
        <w:ind w:left="2520" w:hanging="360"/>
      </w:pPr>
      <w:rPr>
        <w:rFonts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C663CF"/>
    <w:multiLevelType w:val="hybridMultilevel"/>
    <w:tmpl w:val="7B0628CA"/>
    <w:lvl w:ilvl="0" w:tplc="0409000F">
      <w:start w:val="1"/>
      <w:numFmt w:val="decimal"/>
      <w:pStyle w:val="3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14699"/>
    <w:multiLevelType w:val="hybridMultilevel"/>
    <w:tmpl w:val="D4B6C0AC"/>
    <w:lvl w:ilvl="0" w:tplc="0F383712">
      <w:start w:val="1"/>
      <w:numFmt w:val="lowerLetter"/>
      <w:lvlText w:val="%1)"/>
      <w:lvlJc w:val="left"/>
      <w:pPr>
        <w:tabs>
          <w:tab w:val="num" w:pos="360"/>
        </w:tabs>
        <w:ind w:left="360" w:hanging="360"/>
      </w:pPr>
      <w:rPr>
        <w:rFonts w:ascii="Tahoma" w:eastAsia="Times New Roman" w:hAnsi="Tahoma" w:cs="Tahoma"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2C076B"/>
    <w:multiLevelType w:val="hybridMultilevel"/>
    <w:tmpl w:val="A2B22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A0AA3"/>
    <w:multiLevelType w:val="hybridMultilevel"/>
    <w:tmpl w:val="9C6C42D8"/>
    <w:lvl w:ilvl="0" w:tplc="44D29752">
      <w:start w:val="1"/>
      <w:numFmt w:val="lowerRoman"/>
      <w:pStyle w:val="Listroman"/>
      <w:lvlText w:val="%1."/>
      <w:lvlJc w:val="left"/>
      <w:pPr>
        <w:ind w:left="641" w:hanging="357"/>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9" w15:restartNumberingAfterBreak="0">
    <w:nsid w:val="2B094461"/>
    <w:multiLevelType w:val="hybridMultilevel"/>
    <w:tmpl w:val="E03E351C"/>
    <w:lvl w:ilvl="0" w:tplc="F6D63BD0">
      <w:start w:val="1"/>
      <w:numFmt w:val="lowerLetter"/>
      <w:pStyle w:val="Listletters"/>
      <w:lvlText w:val="%1)"/>
      <w:lvlJc w:val="left"/>
      <w:pPr>
        <w:ind w:left="36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27428"/>
    <w:multiLevelType w:val="hybridMultilevel"/>
    <w:tmpl w:val="C34270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F42B29"/>
    <w:multiLevelType w:val="hybridMultilevel"/>
    <w:tmpl w:val="4586A22C"/>
    <w:lvl w:ilvl="0" w:tplc="12F2201C">
      <w:start w:val="1"/>
      <w:numFmt w:val="lowerLetter"/>
      <w:lvlText w:val="%1)"/>
      <w:lvlJc w:val="left"/>
      <w:pPr>
        <w:tabs>
          <w:tab w:val="num" w:pos="360"/>
        </w:tabs>
        <w:ind w:left="360" w:hanging="360"/>
      </w:pPr>
      <w:rPr>
        <w:rFonts w:ascii="Tahoma" w:eastAsia="Times New Roman" w:hAnsi="Tahoma" w:cs="Tahoma" w:hint="default"/>
      </w:rPr>
    </w:lvl>
    <w:lvl w:ilvl="1" w:tplc="F9F4CA2A">
      <w:start w:val="4"/>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7F695F"/>
    <w:multiLevelType w:val="hybridMultilevel"/>
    <w:tmpl w:val="7038A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A5A30"/>
    <w:multiLevelType w:val="hybridMultilevel"/>
    <w:tmpl w:val="369C8854"/>
    <w:lvl w:ilvl="0" w:tplc="7C622998">
      <w:start w:val="1"/>
      <w:numFmt w:val="lowerLetter"/>
      <w:lvlText w:val="%1)"/>
      <w:lvlJc w:val="left"/>
      <w:pPr>
        <w:tabs>
          <w:tab w:val="num" w:pos="360"/>
        </w:tabs>
        <w:ind w:left="360" w:hanging="360"/>
      </w:pPr>
      <w:rPr>
        <w:rFonts w:ascii="Tahoma" w:eastAsia="Times New Roman" w:hAnsi="Tahoma" w:cs="Tahoma"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A57E1A"/>
    <w:multiLevelType w:val="hybridMultilevel"/>
    <w:tmpl w:val="E8467F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740AEA"/>
    <w:multiLevelType w:val="hybridMultilevel"/>
    <w:tmpl w:val="65643C0E"/>
    <w:lvl w:ilvl="0" w:tplc="4B44030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076ED"/>
    <w:multiLevelType w:val="hybridMultilevel"/>
    <w:tmpl w:val="B0424764"/>
    <w:lvl w:ilvl="0" w:tplc="F5D6AB7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73F6F"/>
    <w:multiLevelType w:val="hybridMultilevel"/>
    <w:tmpl w:val="1B68BF2E"/>
    <w:lvl w:ilvl="0" w:tplc="EEE8CDEE">
      <w:start w:val="1"/>
      <w:numFmt w:val="lowerLetter"/>
      <w:lvlText w:val="%1)"/>
      <w:lvlJc w:val="left"/>
      <w:pPr>
        <w:tabs>
          <w:tab w:val="num" w:pos="360"/>
        </w:tabs>
        <w:ind w:left="360" w:hanging="360"/>
      </w:pPr>
      <w:rPr>
        <w:rFonts w:ascii="Tahoma" w:eastAsia="Times New Roman" w:hAnsi="Tahoma" w:cs="Tahoma"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19" w15:restartNumberingAfterBreak="0">
    <w:nsid w:val="660344A9"/>
    <w:multiLevelType w:val="hybridMultilevel"/>
    <w:tmpl w:val="10D635C4"/>
    <w:lvl w:ilvl="0" w:tplc="FB72E154">
      <w:start w:val="1"/>
      <w:numFmt w:val="lowerLetter"/>
      <w:lvlText w:val="%1)"/>
      <w:lvlJc w:val="left"/>
      <w:pPr>
        <w:tabs>
          <w:tab w:val="num" w:pos="360"/>
        </w:tabs>
        <w:ind w:left="360" w:hanging="360"/>
      </w:pPr>
      <w:rPr>
        <w:rFonts w:ascii="Tahoma" w:eastAsia="Times New Roman" w:hAnsi="Tahoma" w:cs="Tahoma" w:hint="default"/>
      </w:rPr>
    </w:lvl>
    <w:lvl w:ilvl="1" w:tplc="013E236E">
      <w:start w:val="8"/>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AB24D4"/>
    <w:multiLevelType w:val="hybridMultilevel"/>
    <w:tmpl w:val="BA142D72"/>
    <w:lvl w:ilvl="0" w:tplc="C8B2EFF4">
      <w:start w:val="1"/>
      <w:numFmt w:val="lowerLetter"/>
      <w:lvlText w:val="%1)"/>
      <w:lvlJc w:val="left"/>
      <w:pPr>
        <w:tabs>
          <w:tab w:val="num" w:pos="360"/>
        </w:tabs>
        <w:ind w:left="360" w:hanging="360"/>
      </w:pPr>
      <w:rPr>
        <w:rFonts w:ascii="Tahoma" w:eastAsia="Times New Roman" w:hAnsi="Tahoma" w:cs="Tahoma"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22" w15:restartNumberingAfterBreak="0">
    <w:nsid w:val="7DF3243D"/>
    <w:multiLevelType w:val="multilevel"/>
    <w:tmpl w:val="EF44B772"/>
    <w:numStyleLink w:val="Style1"/>
  </w:abstractNum>
  <w:num w:numId="1">
    <w:abstractNumId w:val="18"/>
  </w:num>
  <w:num w:numId="2">
    <w:abstractNumId w:val="2"/>
  </w:num>
  <w:num w:numId="3">
    <w:abstractNumId w:val="22"/>
  </w:num>
  <w:num w:numId="4">
    <w:abstractNumId w:val="21"/>
  </w:num>
  <w:num w:numId="5">
    <w:abstractNumId w:val="5"/>
  </w:num>
  <w:num w:numId="6">
    <w:abstractNumId w:val="16"/>
  </w:num>
  <w:num w:numId="7">
    <w:abstractNumId w:val="14"/>
  </w:num>
  <w:num w:numId="8">
    <w:abstractNumId w:val="3"/>
  </w:num>
  <w:num w:numId="9">
    <w:abstractNumId w:val="10"/>
  </w:num>
  <w:num w:numId="10">
    <w:abstractNumId w:val="19"/>
  </w:num>
  <w:num w:numId="11">
    <w:abstractNumId w:val="11"/>
  </w:num>
  <w:num w:numId="12">
    <w:abstractNumId w:val="4"/>
  </w:num>
  <w:num w:numId="13">
    <w:abstractNumId w:val="20"/>
  </w:num>
  <w:num w:numId="14">
    <w:abstractNumId w:val="13"/>
  </w:num>
  <w:num w:numId="15">
    <w:abstractNumId w:val="17"/>
  </w:num>
  <w:num w:numId="16">
    <w:abstractNumId w:val="6"/>
  </w:num>
  <w:num w:numId="17">
    <w:abstractNumId w:val="7"/>
  </w:num>
  <w:num w:numId="18">
    <w:abstractNumId w:val="1"/>
  </w:num>
  <w:num w:numId="19">
    <w:abstractNumId w:val="15"/>
  </w:num>
  <w:num w:numId="20">
    <w:abstractNumId w:val="12"/>
  </w:num>
  <w:num w:numId="21">
    <w:abstractNumId w:val="0"/>
  </w:num>
  <w:num w:numId="22">
    <w:abstractNumId w:val="9"/>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E2"/>
    <w:rsid w:val="00000221"/>
    <w:rsid w:val="00016B20"/>
    <w:rsid w:val="00017852"/>
    <w:rsid w:val="00074555"/>
    <w:rsid w:val="000907F6"/>
    <w:rsid w:val="000939F2"/>
    <w:rsid w:val="000A710C"/>
    <w:rsid w:val="000B5736"/>
    <w:rsid w:val="000B752B"/>
    <w:rsid w:val="000B7B60"/>
    <w:rsid w:val="000C63A2"/>
    <w:rsid w:val="000F18A6"/>
    <w:rsid w:val="00106B3F"/>
    <w:rsid w:val="001178E1"/>
    <w:rsid w:val="001521B8"/>
    <w:rsid w:val="0015776A"/>
    <w:rsid w:val="001623DD"/>
    <w:rsid w:val="00186C54"/>
    <w:rsid w:val="001A385D"/>
    <w:rsid w:val="001C202F"/>
    <w:rsid w:val="00214C01"/>
    <w:rsid w:val="00222F02"/>
    <w:rsid w:val="00242503"/>
    <w:rsid w:val="00263875"/>
    <w:rsid w:val="0028500F"/>
    <w:rsid w:val="002B630A"/>
    <w:rsid w:val="002C607D"/>
    <w:rsid w:val="00332E8E"/>
    <w:rsid w:val="003428BB"/>
    <w:rsid w:val="0036207F"/>
    <w:rsid w:val="003B20B2"/>
    <w:rsid w:val="003B67E5"/>
    <w:rsid w:val="003C3481"/>
    <w:rsid w:val="003D3264"/>
    <w:rsid w:val="003D7045"/>
    <w:rsid w:val="003E5398"/>
    <w:rsid w:val="003F44F1"/>
    <w:rsid w:val="003F60D7"/>
    <w:rsid w:val="0040663C"/>
    <w:rsid w:val="00422B66"/>
    <w:rsid w:val="00433C23"/>
    <w:rsid w:val="00467B6B"/>
    <w:rsid w:val="00474ADD"/>
    <w:rsid w:val="004A2FFC"/>
    <w:rsid w:val="004B2608"/>
    <w:rsid w:val="004B52B2"/>
    <w:rsid w:val="004C079F"/>
    <w:rsid w:val="004C2324"/>
    <w:rsid w:val="004E757D"/>
    <w:rsid w:val="004F7204"/>
    <w:rsid w:val="00511BE2"/>
    <w:rsid w:val="005237DB"/>
    <w:rsid w:val="005252B5"/>
    <w:rsid w:val="00530A48"/>
    <w:rsid w:val="00533DCB"/>
    <w:rsid w:val="00554803"/>
    <w:rsid w:val="00580520"/>
    <w:rsid w:val="005A7D1B"/>
    <w:rsid w:val="005C18BB"/>
    <w:rsid w:val="005C5112"/>
    <w:rsid w:val="0060134B"/>
    <w:rsid w:val="006432C5"/>
    <w:rsid w:val="00671618"/>
    <w:rsid w:val="00680F5C"/>
    <w:rsid w:val="00685337"/>
    <w:rsid w:val="00690731"/>
    <w:rsid w:val="006B25F8"/>
    <w:rsid w:val="006C1422"/>
    <w:rsid w:val="006C2E80"/>
    <w:rsid w:val="006E1BD5"/>
    <w:rsid w:val="006E2DD3"/>
    <w:rsid w:val="006F0D40"/>
    <w:rsid w:val="0071494C"/>
    <w:rsid w:val="0072065C"/>
    <w:rsid w:val="00726ACB"/>
    <w:rsid w:val="00776FB1"/>
    <w:rsid w:val="007A7525"/>
    <w:rsid w:val="007D65C5"/>
    <w:rsid w:val="007E0905"/>
    <w:rsid w:val="007F35CA"/>
    <w:rsid w:val="0080446F"/>
    <w:rsid w:val="008068EF"/>
    <w:rsid w:val="00811C08"/>
    <w:rsid w:val="00817CDB"/>
    <w:rsid w:val="00827D15"/>
    <w:rsid w:val="00827E57"/>
    <w:rsid w:val="00845010"/>
    <w:rsid w:val="0085210B"/>
    <w:rsid w:val="00867BF3"/>
    <w:rsid w:val="0088519E"/>
    <w:rsid w:val="00892D4A"/>
    <w:rsid w:val="008B3350"/>
    <w:rsid w:val="008D305C"/>
    <w:rsid w:val="008D6503"/>
    <w:rsid w:val="00924947"/>
    <w:rsid w:val="0094735F"/>
    <w:rsid w:val="00953B99"/>
    <w:rsid w:val="009A333F"/>
    <w:rsid w:val="009C7B4B"/>
    <w:rsid w:val="009F084A"/>
    <w:rsid w:val="009F44BA"/>
    <w:rsid w:val="00A16C7C"/>
    <w:rsid w:val="00A2032E"/>
    <w:rsid w:val="00A30511"/>
    <w:rsid w:val="00A458AC"/>
    <w:rsid w:val="00A5318C"/>
    <w:rsid w:val="00A56713"/>
    <w:rsid w:val="00A75A06"/>
    <w:rsid w:val="00A83A8F"/>
    <w:rsid w:val="00AD3F43"/>
    <w:rsid w:val="00AE3F18"/>
    <w:rsid w:val="00AE57BC"/>
    <w:rsid w:val="00B33071"/>
    <w:rsid w:val="00B4046B"/>
    <w:rsid w:val="00B5372F"/>
    <w:rsid w:val="00BB22E9"/>
    <w:rsid w:val="00BD15E2"/>
    <w:rsid w:val="00BD4116"/>
    <w:rsid w:val="00BE58AA"/>
    <w:rsid w:val="00C1024B"/>
    <w:rsid w:val="00C20D66"/>
    <w:rsid w:val="00C31714"/>
    <w:rsid w:val="00C31E9C"/>
    <w:rsid w:val="00C337C6"/>
    <w:rsid w:val="00C41F12"/>
    <w:rsid w:val="00C46201"/>
    <w:rsid w:val="00C672BC"/>
    <w:rsid w:val="00C673E9"/>
    <w:rsid w:val="00CA1FBA"/>
    <w:rsid w:val="00CE1CE5"/>
    <w:rsid w:val="00D200F0"/>
    <w:rsid w:val="00D243D4"/>
    <w:rsid w:val="00D64559"/>
    <w:rsid w:val="00D70D0A"/>
    <w:rsid w:val="00D767D3"/>
    <w:rsid w:val="00D825D2"/>
    <w:rsid w:val="00D90685"/>
    <w:rsid w:val="00D91E55"/>
    <w:rsid w:val="00D92747"/>
    <w:rsid w:val="00D93415"/>
    <w:rsid w:val="00DA3F13"/>
    <w:rsid w:val="00DB6854"/>
    <w:rsid w:val="00DC533E"/>
    <w:rsid w:val="00DF6D00"/>
    <w:rsid w:val="00E04DF3"/>
    <w:rsid w:val="00E312F5"/>
    <w:rsid w:val="00E43BDC"/>
    <w:rsid w:val="00E53434"/>
    <w:rsid w:val="00E72B01"/>
    <w:rsid w:val="00E93BC0"/>
    <w:rsid w:val="00E947BA"/>
    <w:rsid w:val="00EB3759"/>
    <w:rsid w:val="00EB3CE2"/>
    <w:rsid w:val="00EC1A0D"/>
    <w:rsid w:val="00EC1DF3"/>
    <w:rsid w:val="00EF3381"/>
    <w:rsid w:val="00F304BC"/>
    <w:rsid w:val="00F31629"/>
    <w:rsid w:val="00F45E38"/>
    <w:rsid w:val="00F55255"/>
    <w:rsid w:val="00FA0AE2"/>
    <w:rsid w:val="00FC0CCA"/>
    <w:rsid w:val="00FD6198"/>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056E18E-D23C-46D6-A7C2-E4EB8AF7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8BB"/>
    <w:pPr>
      <w:spacing w:after="220"/>
    </w:pPr>
    <w:rPr>
      <w:sz w:val="22"/>
    </w:rPr>
  </w:style>
  <w:style w:type="paragraph" w:styleId="Heading1">
    <w:name w:val="heading 1"/>
    <w:basedOn w:val="Normal"/>
    <w:next w:val="Normal"/>
    <w:link w:val="Heading1Char"/>
    <w:uiPriority w:val="2"/>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3"/>
    <w:qFormat/>
    <w:rsid w:val="003C3481"/>
    <w:pPr>
      <w:keepNext/>
      <w:keepLines/>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iPriority w:val="6"/>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uiPriority w:val="3"/>
    <w:rsid w:val="00680F5C"/>
    <w:rPr>
      <w:rFonts w:eastAsiaTheme="majorEastAsia" w:cstheme="majorBidi"/>
      <w:b/>
      <w:bCs/>
      <w:szCs w:val="26"/>
    </w:rPr>
  </w:style>
  <w:style w:type="paragraph" w:styleId="ListParagraph">
    <w:name w:val="List Paragraph"/>
    <w:basedOn w:val="Normal"/>
    <w:link w:val="ListParagraphChar"/>
    <w:uiPriority w:val="34"/>
    <w:qFormat/>
    <w:rsid w:val="00D767D3"/>
    <w:pPr>
      <w:numPr>
        <w:numId w:val="2"/>
      </w:numPr>
    </w:pPr>
    <w:rPr>
      <w:szCs w:val="22"/>
    </w:r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4"/>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left="720" w:hanging="360"/>
    </w:pPr>
    <w:rPr>
      <w:i/>
      <w:iCs/>
      <w:color w:val="000000" w:themeColor="text1"/>
      <w:szCs w:val="22"/>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34"/>
    <w:rsid w:val="00D767D3"/>
    <w:rPr>
      <w:sz w:val="22"/>
      <w:szCs w:val="22"/>
    </w:rPr>
  </w:style>
  <w:style w:type="character" w:customStyle="1" w:styleId="NumberedListChar">
    <w:name w:val="Numbered List Char"/>
    <w:basedOn w:val="ListParagraphChar"/>
    <w:link w:val="NumberedList"/>
    <w:uiPriority w:val="8"/>
    <w:rsid w:val="00F304BC"/>
    <w:rPr>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line="276" w:lineRule="auto"/>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3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sz w:val="22"/>
      <w:szCs w:val="22"/>
    </w:rPr>
  </w:style>
  <w:style w:type="paragraph" w:customStyle="1" w:styleId="3Heading">
    <w:name w:val="#3  Heading"/>
    <w:basedOn w:val="Heading3"/>
    <w:next w:val="Normal"/>
    <w:link w:val="3HeadingChar"/>
    <w:qFormat/>
    <w:rsid w:val="00EB3CE2"/>
    <w:pPr>
      <w:keepLines w:val="0"/>
      <w:widowControl w:val="0"/>
      <w:numPr>
        <w:numId w:val="5"/>
      </w:numPr>
      <w:spacing w:before="360" w:after="240"/>
    </w:pPr>
    <w:rPr>
      <w:rFonts w:ascii="Tahoma" w:eastAsia="Times New Roman" w:hAnsi="Tahoma" w:cs="Times New Roman"/>
      <w:b w:val="0"/>
      <w:snapToGrid w:val="0"/>
      <w:color w:val="0D0D0D" w:themeColor="text1" w:themeTint="F2"/>
      <w:sz w:val="29"/>
      <w:lang w:val="en-CA"/>
    </w:rPr>
  </w:style>
  <w:style w:type="character" w:customStyle="1" w:styleId="3HeadingChar">
    <w:name w:val="#3  Heading Char"/>
    <w:basedOn w:val="DefaultParagraphFont"/>
    <w:link w:val="3Heading"/>
    <w:rsid w:val="00EB3CE2"/>
    <w:rPr>
      <w:rFonts w:ascii="Tahoma" w:eastAsia="Times New Roman" w:hAnsi="Tahoma" w:cs="Times New Roman"/>
      <w:bCs/>
      <w:snapToGrid w:val="0"/>
      <w:color w:val="0D0D0D" w:themeColor="text1" w:themeTint="F2"/>
      <w:sz w:val="29"/>
      <w:lang w:val="en-CA"/>
    </w:rPr>
  </w:style>
  <w:style w:type="paragraph" w:styleId="FootnoteText">
    <w:name w:val="footnote text"/>
    <w:basedOn w:val="Normal"/>
    <w:link w:val="FootnoteTextChar"/>
    <w:uiPriority w:val="99"/>
    <w:rsid w:val="0088519E"/>
    <w:pPr>
      <w:spacing w:after="0"/>
    </w:pPr>
    <w:rPr>
      <w:rFonts w:ascii="Tahoma" w:eastAsia="Times New Roman" w:hAnsi="Tahoma" w:cs="Times New Roman"/>
      <w:sz w:val="20"/>
      <w:szCs w:val="20"/>
      <w:lang w:val="en-CA"/>
    </w:rPr>
  </w:style>
  <w:style w:type="character" w:customStyle="1" w:styleId="FootnoteTextChar">
    <w:name w:val="Footnote Text Char"/>
    <w:basedOn w:val="DefaultParagraphFont"/>
    <w:link w:val="FootnoteText"/>
    <w:uiPriority w:val="99"/>
    <w:rsid w:val="0088519E"/>
    <w:rPr>
      <w:rFonts w:ascii="Tahoma" w:eastAsia="Times New Roman" w:hAnsi="Tahoma" w:cs="Times New Roman"/>
      <w:sz w:val="20"/>
      <w:szCs w:val="20"/>
      <w:lang w:val="en-CA"/>
    </w:rPr>
  </w:style>
  <w:style w:type="character" w:styleId="FootnoteReference">
    <w:name w:val="footnote reference"/>
    <w:uiPriority w:val="99"/>
    <w:rsid w:val="0088519E"/>
    <w:rPr>
      <w:vertAlign w:val="superscript"/>
    </w:rPr>
  </w:style>
  <w:style w:type="paragraph" w:customStyle="1" w:styleId="Default1">
    <w:name w:val="Default1"/>
    <w:basedOn w:val="Normal"/>
    <w:uiPriority w:val="99"/>
    <w:rsid w:val="0088519E"/>
    <w:pPr>
      <w:autoSpaceDE w:val="0"/>
      <w:autoSpaceDN w:val="0"/>
      <w:spacing w:after="0"/>
    </w:pPr>
    <w:rPr>
      <w:rFonts w:eastAsia="Calibri"/>
      <w:sz w:val="24"/>
    </w:rPr>
  </w:style>
  <w:style w:type="paragraph" w:customStyle="1" w:styleId="Body">
    <w:name w:val="Body"/>
    <w:basedOn w:val="Normal"/>
    <w:qFormat/>
    <w:rsid w:val="001C202F"/>
    <w:pPr>
      <w:spacing w:after="240" w:line="274" w:lineRule="auto"/>
    </w:pPr>
    <w:rPr>
      <w:rFonts w:ascii="Montserrat" w:hAnsi="Montserrat" w:cs="Times New Roman (Body CS)"/>
      <w:spacing w:val="2"/>
      <w:sz w:val="19"/>
      <w:lang w:val="en-CA"/>
    </w:rPr>
  </w:style>
  <w:style w:type="paragraph" w:styleId="ListBullet">
    <w:name w:val="List Bullet"/>
    <w:basedOn w:val="Body"/>
    <w:uiPriority w:val="99"/>
    <w:unhideWhenUsed/>
    <w:rsid w:val="001C202F"/>
    <w:pPr>
      <w:numPr>
        <w:numId w:val="21"/>
      </w:numPr>
      <w:contextualSpacing/>
    </w:pPr>
  </w:style>
  <w:style w:type="paragraph" w:customStyle="1" w:styleId="Listletters">
    <w:name w:val="List letters"/>
    <w:basedOn w:val="Body"/>
    <w:qFormat/>
    <w:rsid w:val="001C202F"/>
    <w:pPr>
      <w:numPr>
        <w:numId w:val="22"/>
      </w:numPr>
      <w:ind w:left="340" w:hanging="340"/>
      <w:contextualSpacing/>
    </w:pPr>
  </w:style>
  <w:style w:type="paragraph" w:customStyle="1" w:styleId="Flowchart-HeadingWhite">
    <w:name w:val="Flowchart - Heading White"/>
    <w:basedOn w:val="Body"/>
    <w:qFormat/>
    <w:rsid w:val="001C202F"/>
    <w:pPr>
      <w:keepNext/>
      <w:spacing w:after="0"/>
      <w:jc w:val="center"/>
    </w:pPr>
    <w:rPr>
      <w:color w:val="FFFFFF" w:themeColor="background1"/>
      <w:sz w:val="24"/>
    </w:rPr>
  </w:style>
  <w:style w:type="paragraph" w:customStyle="1" w:styleId="Flowchart-Body">
    <w:name w:val="Flowchart - Body"/>
    <w:basedOn w:val="Body"/>
    <w:qFormat/>
    <w:rsid w:val="001C202F"/>
    <w:pPr>
      <w:keepNext/>
      <w:framePr w:hSpace="180" w:wrap="around" w:vAnchor="text" w:hAnchor="margin" w:y="108"/>
      <w:spacing w:before="60" w:line="288" w:lineRule="auto"/>
      <w:jc w:val="center"/>
    </w:pPr>
    <w:rPr>
      <w:noProof/>
    </w:rPr>
  </w:style>
  <w:style w:type="paragraph" w:customStyle="1" w:styleId="Flowchart-Title">
    <w:name w:val="Flowchart - Title"/>
    <w:basedOn w:val="Body"/>
    <w:qFormat/>
    <w:rsid w:val="001C202F"/>
    <w:pPr>
      <w:keepNext/>
      <w:framePr w:hSpace="180" w:wrap="around" w:vAnchor="text" w:hAnchor="margin" w:y="738"/>
      <w:spacing w:line="288" w:lineRule="auto"/>
    </w:pPr>
    <w:rPr>
      <w:b/>
    </w:rPr>
  </w:style>
  <w:style w:type="paragraph" w:customStyle="1" w:styleId="Heading1-pagebreak">
    <w:name w:val="Heading 1 - page break"/>
    <w:basedOn w:val="Heading1"/>
    <w:next w:val="Body"/>
    <w:autoRedefine/>
    <w:qFormat/>
    <w:rsid w:val="001C202F"/>
    <w:pPr>
      <w:pageBreakBefore/>
      <w:spacing w:before="960" w:after="120" w:line="400" w:lineRule="exact"/>
      <w:ind w:left="720" w:hanging="720"/>
      <w:jc w:val="left"/>
    </w:pPr>
    <w:rPr>
      <w:rFonts w:ascii="Montserrat" w:hAnsi="Montserrat" w:cs="Times New Roman (Headings CS)"/>
      <w:b w:val="0"/>
      <w:color w:val="920030"/>
      <w:kern w:val="36"/>
      <w:sz w:val="36"/>
      <w:szCs w:val="32"/>
    </w:rPr>
  </w:style>
  <w:style w:type="paragraph" w:customStyle="1" w:styleId="Listroman">
    <w:name w:val="List roman"/>
    <w:basedOn w:val="Body"/>
    <w:qFormat/>
    <w:rsid w:val="001C202F"/>
    <w:pPr>
      <w:numPr>
        <w:numId w:val="37"/>
      </w:numPr>
      <w:contextualSpacing/>
    </w:pPr>
    <w:rPr>
      <w:lang w:val="en-US"/>
    </w:rPr>
  </w:style>
  <w:style w:type="paragraph" w:customStyle="1" w:styleId="SidebarHeading">
    <w:name w:val="Sidebar Heading"/>
    <w:basedOn w:val="Listletters"/>
    <w:qFormat/>
    <w:rsid w:val="001C202F"/>
    <w:pPr>
      <w:keepNext/>
      <w:numPr>
        <w:numId w:val="0"/>
      </w:numPr>
      <w:spacing w:before="120" w:after="120"/>
      <w:ind w:left="227"/>
    </w:pPr>
    <w:rPr>
      <w:rFonts w:ascii="Montserrat SemiBold" w:hAnsi="Montserrat SemiBold"/>
      <w:b/>
      <w:bCs/>
      <w:szCs w:val="16"/>
      <w:lang w:val="en-US"/>
    </w:rPr>
  </w:style>
  <w:style w:type="paragraph" w:customStyle="1" w:styleId="Sidebar-Body">
    <w:name w:val="Sidebar - Body"/>
    <w:basedOn w:val="Listletters"/>
    <w:qFormat/>
    <w:rsid w:val="001C202F"/>
    <w:pPr>
      <w:keepNext/>
      <w:keepLines/>
      <w:numPr>
        <w:numId w:val="0"/>
      </w:numPr>
      <w:spacing w:before="120"/>
      <w:ind w:left="227"/>
    </w:pPr>
    <w:rPr>
      <w:szCs w:val="16"/>
      <w:lang w:val="en-US"/>
    </w:rPr>
  </w:style>
  <w:style w:type="paragraph" w:customStyle="1" w:styleId="Heading2-exclTOC">
    <w:name w:val="Heading 2 - excl TOC"/>
    <w:basedOn w:val="Heading2"/>
    <w:qFormat/>
    <w:rsid w:val="001C202F"/>
    <w:pPr>
      <w:tabs>
        <w:tab w:val="left" w:pos="567"/>
      </w:tabs>
      <w:spacing w:before="240" w:after="120" w:line="276" w:lineRule="auto"/>
      <w:ind w:left="567" w:hanging="567"/>
    </w:pPr>
    <w:rPr>
      <w:rFonts w:ascii="Montserrat Medium" w:hAnsi="Montserrat Medium" w:cs="Times New Roman (Headings CS)"/>
      <w:b w:val="0"/>
      <w:bCs w:val="0"/>
      <w:color w:val="0D4561"/>
      <w:sz w:val="22"/>
      <w:lang w:val="en-CA"/>
    </w:rPr>
  </w:style>
  <w:style w:type="paragraph" w:customStyle="1" w:styleId="Heading3-exclTOC">
    <w:name w:val="Heading 3 - excl TOC"/>
    <w:basedOn w:val="Heading3"/>
    <w:qFormat/>
    <w:rsid w:val="001C202F"/>
    <w:pPr>
      <w:tabs>
        <w:tab w:val="left" w:pos="567"/>
        <w:tab w:val="left" w:pos="737"/>
      </w:tabs>
      <w:spacing w:before="240" w:after="120" w:line="276" w:lineRule="auto"/>
      <w:ind w:left="720" w:hanging="720"/>
    </w:pPr>
    <w:rPr>
      <w:rFonts w:ascii="Montserrat Medium" w:hAnsi="Montserrat Medium" w:cs="Times New Roman (Headings CS)"/>
      <w:b w:val="0"/>
      <w:bCs w:val="0"/>
      <w:color w:val="0D4561"/>
      <w:spacing w:val="4"/>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oucqa.ca/guide/program-objectives-and-program-level-learning-outcomes/" TargetMode="External"/><Relationship Id="rId18" Type="http://schemas.openxmlformats.org/officeDocument/2006/relationships/hyperlink" Target="https://oucqa.ca/guide/assessment-of-teaching-and-learning-qaf-2-1-2-4-and-5-1-3-1-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ucqa.ca/guide/virtual-quality-assurance-site-visits/" TargetMode="External"/><Relationship Id="rId7" Type="http://schemas.openxmlformats.org/officeDocument/2006/relationships/endnotes" Target="endnotes.xml"/><Relationship Id="rId12" Type="http://schemas.openxmlformats.org/officeDocument/2006/relationships/hyperlink" Target="https://oucqa.ca/guide/approval-and-review-of-joint-programs-offered-by-two-or-more-institutions/" TargetMode="External"/><Relationship Id="rId17" Type="http://schemas.openxmlformats.org/officeDocument/2006/relationships/hyperlink" Target="https://oucqa.ca/resources-publications/templat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ucqa.ca/resources-publications/templates/" TargetMode="External"/><Relationship Id="rId20" Type="http://schemas.openxmlformats.org/officeDocument/2006/relationships/hyperlink" Target="https://oucqa.ca/guide/internal-memb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u.gov.on.ca/pepg/audiences/colleges/oqf.html" TargetMode="External"/><Relationship Id="rId24" Type="http://schemas.openxmlformats.org/officeDocument/2006/relationships/hyperlink" Target="https://oucqa.ca/resources-publications/templates/"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oucqa.ca/guide/guidance-for-external-reviewers-of-new-programs/" TargetMode="External"/><Relationship Id="rId10" Type="http://schemas.openxmlformats.org/officeDocument/2006/relationships/footer" Target="footer1.xml"/><Relationship Id="rId19" Type="http://schemas.openxmlformats.org/officeDocument/2006/relationships/hyperlink" Target="https://oucqa.ca/resources-publications/template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oucqa.ca/guide/program-objectives-and-program-level-learning-outcomes/" TargetMode="External"/><Relationship Id="rId22" Type="http://schemas.openxmlformats.org/officeDocument/2006/relationships/hyperlink" Target="https://oucqa.ca/guide/choosing-arms-length-reviewers-2-2-1-and-5-2-1/"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1-12T16:18:46.725"/>
    </inkml:context>
    <inkml:brush xml:id="br0">
      <inkml:brushProperty name="width" value="0.02" units="cm"/>
      <inkml:brushProperty name="height" value="0.02" units="cm"/>
      <inkml:brushProperty name="ignorePressure" value="1"/>
    </inkml:brush>
  </inkml:definitions>
  <inkml:trace contextRef="#ctx0" brushRef="#br0">43907 5139,'0'0,"0"0,0 0,0 0,0 0,-2-2,0 1,1-1</inkml:trace>
</inkml:ink>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72F2-795D-44C9-8174-49A437E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5645</Words>
  <Characters>30938</Characters>
  <Application>Microsoft Office Word</Application>
  <DocSecurity>0</DocSecurity>
  <Lines>618</Lines>
  <Paragraphs>348</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Robinson</dc:creator>
  <cp:keywords/>
  <dc:description/>
  <cp:lastModifiedBy>Brittany McFarlane</cp:lastModifiedBy>
  <cp:revision>4</cp:revision>
  <dcterms:created xsi:type="dcterms:W3CDTF">2024-03-22T16:25:00Z</dcterms:created>
  <dcterms:modified xsi:type="dcterms:W3CDTF">2024-06-12T19:18:00Z</dcterms:modified>
</cp:coreProperties>
</file>