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0A279" w14:textId="41D3DE1F" w:rsidR="00477B28" w:rsidRDefault="00477B28" w:rsidP="007E5A84">
      <w:pPr>
        <w:pStyle w:val="Heading1"/>
      </w:pPr>
      <w:bookmarkStart w:id="0" w:name="_Toc475628794"/>
      <w:bookmarkStart w:id="1" w:name="_Toc89774798"/>
      <w:r w:rsidRPr="0068789C">
        <w:t>Cyclical Program Reviews</w:t>
      </w:r>
      <w:bookmarkEnd w:id="0"/>
      <w:bookmarkEnd w:id="1"/>
      <w:r w:rsidR="008E7FC2">
        <w:t xml:space="preserve"> – Post </w:t>
      </w:r>
      <w:r w:rsidR="007E5A84">
        <w:t>S</w:t>
      </w:r>
      <w:r w:rsidR="008E7FC2">
        <w:t xml:space="preserve">ite </w:t>
      </w:r>
      <w:r w:rsidR="007E5A84">
        <w:t>V</w:t>
      </w:r>
      <w:r w:rsidR="008E7FC2">
        <w:t>isit Report</w:t>
      </w:r>
    </w:p>
    <w:p w14:paraId="67292409" w14:textId="460BAA93" w:rsidR="00C426B3" w:rsidRPr="00745729" w:rsidRDefault="00C426B3" w:rsidP="00C426B3">
      <w:pPr>
        <w:rPr>
          <w:rFonts w:ascii="Arial" w:hAnsi="Arial" w:cs="Arial"/>
          <w:i/>
        </w:rPr>
      </w:pPr>
      <w:r w:rsidRPr="00C426B3">
        <w:rPr>
          <w:rFonts w:ascii="Arial" w:hAnsi="Arial" w:cs="Arial"/>
          <w:b/>
          <w:i/>
        </w:rPr>
        <w:t>NOTE 1</w:t>
      </w:r>
      <w:r>
        <w:rPr>
          <w:rFonts w:ascii="Arial" w:hAnsi="Arial" w:cs="Arial"/>
          <w:i/>
        </w:rPr>
        <w:t xml:space="preserve">: The Audit Report lead writer will rely heavily on this post site visit report to inform the writing of Audit Report. Please ensure that you provide sufficient context and rationale for your findings below to support any proposed suggestions, recommendations, or best practices. </w:t>
      </w:r>
    </w:p>
    <w:p w14:paraId="77FD3069" w14:textId="0F4C93D5" w:rsidR="006F315B" w:rsidRDefault="006F315B" w:rsidP="006F315B">
      <w:pPr>
        <w:rPr>
          <w:rFonts w:ascii="Arial" w:hAnsi="Arial" w:cs="Arial"/>
          <w:i/>
        </w:rPr>
      </w:pPr>
      <w:r w:rsidRPr="00C426B3">
        <w:rPr>
          <w:rFonts w:ascii="Arial" w:hAnsi="Arial" w:cs="Arial"/>
          <w:b/>
          <w:i/>
        </w:rPr>
        <w:t>NOTE</w:t>
      </w:r>
      <w:r w:rsidR="00EC3904" w:rsidRPr="00C426B3">
        <w:rPr>
          <w:rFonts w:ascii="Arial" w:hAnsi="Arial" w:cs="Arial"/>
          <w:b/>
          <w:i/>
        </w:rPr>
        <w:t xml:space="preserve"> </w:t>
      </w:r>
      <w:r w:rsidR="00C426B3" w:rsidRPr="00C426B3">
        <w:rPr>
          <w:rFonts w:ascii="Arial" w:hAnsi="Arial" w:cs="Arial"/>
          <w:b/>
          <w:i/>
        </w:rPr>
        <w:t>2</w:t>
      </w:r>
      <w:r w:rsidRPr="00745729">
        <w:rPr>
          <w:rFonts w:ascii="Arial" w:hAnsi="Arial" w:cs="Arial"/>
          <w:i/>
        </w:rPr>
        <w:t xml:space="preserve">: </w:t>
      </w:r>
      <w:r w:rsidR="00745729" w:rsidRPr="00745729">
        <w:rPr>
          <w:rFonts w:ascii="Arial" w:hAnsi="Arial" w:cs="Arial"/>
          <w:i/>
        </w:rPr>
        <w:t>An extract of the QAF Protocol</w:t>
      </w:r>
      <w:r w:rsidR="00E41CC2">
        <w:rPr>
          <w:rFonts w:ascii="Arial" w:hAnsi="Arial" w:cs="Arial"/>
          <w:i/>
        </w:rPr>
        <w:t xml:space="preserve"> for Cyclical Program Reviews</w:t>
      </w:r>
      <w:r w:rsidR="00745729" w:rsidRPr="00745729">
        <w:rPr>
          <w:rFonts w:ascii="Arial" w:hAnsi="Arial" w:cs="Arial"/>
          <w:i/>
        </w:rPr>
        <w:t xml:space="preserve"> is provided as an Appendix to this template</w:t>
      </w:r>
    </w:p>
    <w:p w14:paraId="07D00209" w14:textId="19F5DD14" w:rsidR="00323A69" w:rsidRDefault="00323A69" w:rsidP="006F315B">
      <w:pPr>
        <w:rPr>
          <w:rFonts w:ascii="Arial" w:hAnsi="Arial" w:cs="Arial"/>
          <w:i/>
        </w:rPr>
      </w:pPr>
      <w:r w:rsidRPr="00203534">
        <w:rPr>
          <w:rFonts w:ascii="Arial" w:hAnsi="Arial" w:cs="Arial"/>
          <w:b/>
          <w:i/>
        </w:rPr>
        <w:t>NOTE 3</w:t>
      </w:r>
      <w:r>
        <w:rPr>
          <w:rFonts w:ascii="Arial" w:hAnsi="Arial" w:cs="Arial"/>
          <w:i/>
        </w:rPr>
        <w:t>: The University of Ottawa 2022-2023 Audit Report Addendum can be used</w:t>
      </w:r>
      <w:r w:rsidR="00EA4E44">
        <w:rPr>
          <w:rFonts w:ascii="Arial" w:hAnsi="Arial" w:cs="Arial"/>
          <w:i/>
        </w:rPr>
        <w:t xml:space="preserve"> for examples of good approaches to the post site visit reports. </w:t>
      </w:r>
    </w:p>
    <w:p w14:paraId="2FE5C996" w14:textId="6DB97327" w:rsidR="00477B28" w:rsidRPr="0068789C" w:rsidRDefault="00C426B3" w:rsidP="00254000">
      <w:pPr>
        <w:pStyle w:val="3Heading"/>
        <w:numPr>
          <w:ilvl w:val="0"/>
          <w:numId w:val="6"/>
        </w:numPr>
        <w:spacing w:line="240" w:lineRule="auto"/>
        <w:ind w:left="360"/>
        <w:rPr>
          <w:rFonts w:ascii="Arial" w:hAnsi="Arial" w:cs="Arial"/>
          <w:b/>
          <w:color w:val="0072BF" w:themeColor="accent1" w:themeShade="BF"/>
          <w:sz w:val="24"/>
        </w:rPr>
      </w:pPr>
      <w:bookmarkStart w:id="2" w:name="_Toc89774799"/>
      <w:r w:rsidRPr="0068789C">
        <w:rPr>
          <w:rFonts w:ascii="Arial" w:hAnsi="Arial" w:cs="Arial"/>
          <w:b/>
          <w:color w:val="0072BF" w:themeColor="accent1" w:themeShade="BF"/>
          <w:sz w:val="24"/>
        </w:rPr>
        <w:t xml:space="preserve"> </w:t>
      </w:r>
      <w:r w:rsidR="00477B28" w:rsidRPr="0068789C">
        <w:rPr>
          <w:rFonts w:ascii="Arial" w:hAnsi="Arial" w:cs="Arial"/>
          <w:b/>
          <w:color w:val="0072BF" w:themeColor="accent1" w:themeShade="BF"/>
          <w:sz w:val="24"/>
        </w:rPr>
        <w:t>(</w:t>
      </w:r>
      <w:r w:rsidR="00477B28" w:rsidRPr="0068789C">
        <w:rPr>
          <w:rFonts w:ascii="Arial" w:hAnsi="Arial" w:cs="Arial"/>
          <w:b/>
          <w:i/>
          <w:color w:val="0072BF" w:themeColor="accent1" w:themeShade="BF"/>
          <w:sz w:val="24"/>
        </w:rPr>
        <w:t>Insert program name and degree(s)</w:t>
      </w:r>
      <w:r w:rsidR="00477B28" w:rsidRPr="0068789C">
        <w:rPr>
          <w:rFonts w:ascii="Arial" w:hAnsi="Arial" w:cs="Arial"/>
          <w:b/>
          <w:color w:val="0072BF" w:themeColor="accent1" w:themeShade="BF"/>
          <w:sz w:val="24"/>
        </w:rPr>
        <w:t>)</w:t>
      </w:r>
      <w:bookmarkEnd w:id="2"/>
    </w:p>
    <w:p w14:paraId="1D7339DD" w14:textId="3C09481A" w:rsidR="00477B28" w:rsidRPr="00375D4B" w:rsidRDefault="00BC583E" w:rsidP="00477B28">
      <w:pPr>
        <w:ind w:left="360"/>
        <w:rPr>
          <w:rFonts w:ascii="Arial" w:hAnsi="Arial" w:cs="Arial"/>
          <w:i/>
        </w:rPr>
      </w:pPr>
      <w:r>
        <w:rPr>
          <w:rFonts w:ascii="Arial" w:hAnsi="Arial" w:cs="Arial"/>
          <w:i/>
        </w:rPr>
        <w:t>[</w:t>
      </w:r>
      <w:r w:rsidR="00477B28">
        <w:rPr>
          <w:rFonts w:ascii="Arial" w:hAnsi="Arial" w:cs="Arial"/>
          <w:i/>
        </w:rPr>
        <w:t>Add a brief description (approx. one</w:t>
      </w:r>
      <w:r w:rsidR="003F3082">
        <w:rPr>
          <w:rFonts w:ascii="Arial" w:hAnsi="Arial" w:cs="Arial"/>
          <w:i/>
        </w:rPr>
        <w:t xml:space="preserve"> or two</w:t>
      </w:r>
      <w:r w:rsidR="00477B28">
        <w:rPr>
          <w:rFonts w:ascii="Arial" w:hAnsi="Arial" w:cs="Arial"/>
          <w:i/>
        </w:rPr>
        <w:t xml:space="preserve"> paragraph</w:t>
      </w:r>
      <w:r w:rsidR="003F3082">
        <w:rPr>
          <w:rFonts w:ascii="Arial" w:hAnsi="Arial" w:cs="Arial"/>
          <w:i/>
        </w:rPr>
        <w:t>s</w:t>
      </w:r>
      <w:r w:rsidR="00477B28">
        <w:rPr>
          <w:rFonts w:ascii="Arial" w:hAnsi="Arial" w:cs="Arial"/>
          <w:i/>
        </w:rPr>
        <w:t xml:space="preserve">) summarizing the key steps in the </w:t>
      </w:r>
      <w:r w:rsidR="00D1531E">
        <w:rPr>
          <w:rFonts w:ascii="Arial" w:hAnsi="Arial" w:cs="Arial"/>
          <w:i/>
        </w:rPr>
        <w:t>review</w:t>
      </w:r>
      <w:r w:rsidR="00477B28">
        <w:rPr>
          <w:rFonts w:ascii="Arial" w:hAnsi="Arial" w:cs="Arial"/>
          <w:i/>
        </w:rPr>
        <w:t xml:space="preserve"> of the Program such as: when </w:t>
      </w:r>
      <w:r w:rsidR="00287BE7">
        <w:rPr>
          <w:rFonts w:ascii="Arial" w:hAnsi="Arial" w:cs="Arial"/>
          <w:i/>
        </w:rPr>
        <w:t>did the</w:t>
      </w:r>
      <w:r w:rsidR="00D1531E">
        <w:rPr>
          <w:rFonts w:ascii="Arial" w:hAnsi="Arial" w:cs="Arial"/>
          <w:i/>
        </w:rPr>
        <w:t xml:space="preserve"> </w:t>
      </w:r>
      <w:r w:rsidR="00287BE7">
        <w:rPr>
          <w:rFonts w:ascii="Arial" w:hAnsi="Arial" w:cs="Arial"/>
          <w:i/>
        </w:rPr>
        <w:t>previous</w:t>
      </w:r>
      <w:r w:rsidR="003F3082">
        <w:rPr>
          <w:rFonts w:ascii="Arial" w:hAnsi="Arial" w:cs="Arial"/>
          <w:i/>
        </w:rPr>
        <w:t xml:space="preserve"> CPR </w:t>
      </w:r>
      <w:r w:rsidR="00287BE7">
        <w:rPr>
          <w:rFonts w:ascii="Arial" w:hAnsi="Arial" w:cs="Arial"/>
          <w:i/>
        </w:rPr>
        <w:t>occur</w:t>
      </w:r>
      <w:r w:rsidR="003F3082">
        <w:rPr>
          <w:rFonts w:ascii="Arial" w:hAnsi="Arial" w:cs="Arial"/>
          <w:i/>
        </w:rPr>
        <w:t xml:space="preserve">; when </w:t>
      </w:r>
      <w:r w:rsidR="00287BE7">
        <w:rPr>
          <w:rFonts w:ascii="Arial" w:hAnsi="Arial" w:cs="Arial"/>
          <w:i/>
        </w:rPr>
        <w:t xml:space="preserve">was </w:t>
      </w:r>
      <w:r w:rsidR="003F3082">
        <w:rPr>
          <w:rFonts w:ascii="Arial" w:hAnsi="Arial" w:cs="Arial"/>
          <w:i/>
        </w:rPr>
        <w:t xml:space="preserve">this </w:t>
      </w:r>
      <w:r w:rsidR="00D1531E">
        <w:rPr>
          <w:rFonts w:ascii="Arial" w:hAnsi="Arial" w:cs="Arial"/>
          <w:i/>
        </w:rPr>
        <w:t xml:space="preserve">CPR scheduled for and </w:t>
      </w:r>
      <w:r w:rsidR="00287BE7">
        <w:rPr>
          <w:rFonts w:ascii="Arial" w:hAnsi="Arial" w:cs="Arial"/>
          <w:i/>
        </w:rPr>
        <w:t>was</w:t>
      </w:r>
      <w:r w:rsidR="00D1531E">
        <w:rPr>
          <w:rFonts w:ascii="Arial" w:hAnsi="Arial" w:cs="Arial"/>
          <w:i/>
        </w:rPr>
        <w:t xml:space="preserve"> it on time/delayed; </w:t>
      </w:r>
      <w:r w:rsidR="003F3082">
        <w:rPr>
          <w:rFonts w:ascii="Arial" w:hAnsi="Arial" w:cs="Arial"/>
          <w:i/>
        </w:rPr>
        <w:t xml:space="preserve">was it part of a bundled / accreditation etc. review; </w:t>
      </w:r>
      <w:r w:rsidR="00D1531E">
        <w:rPr>
          <w:rFonts w:ascii="Arial" w:hAnsi="Arial" w:cs="Arial"/>
          <w:i/>
        </w:rPr>
        <w:t xml:space="preserve">when </w:t>
      </w:r>
      <w:r w:rsidR="00287BE7">
        <w:rPr>
          <w:rFonts w:ascii="Arial" w:hAnsi="Arial" w:cs="Arial"/>
          <w:i/>
        </w:rPr>
        <w:t xml:space="preserve">is </w:t>
      </w:r>
      <w:r w:rsidR="00D1531E">
        <w:rPr>
          <w:rFonts w:ascii="Arial" w:hAnsi="Arial" w:cs="Arial"/>
          <w:i/>
        </w:rPr>
        <w:t xml:space="preserve">the next CPR scheduled </w:t>
      </w:r>
      <w:r w:rsidR="00287BE7">
        <w:rPr>
          <w:rFonts w:ascii="Arial" w:hAnsi="Arial" w:cs="Arial"/>
          <w:i/>
        </w:rPr>
        <w:t xml:space="preserve">for </w:t>
      </w:r>
      <w:r w:rsidR="00D1531E">
        <w:rPr>
          <w:rFonts w:ascii="Arial" w:hAnsi="Arial" w:cs="Arial"/>
          <w:i/>
        </w:rPr>
        <w:t xml:space="preserve">and </w:t>
      </w:r>
      <w:r w:rsidR="00287BE7">
        <w:rPr>
          <w:rFonts w:ascii="Arial" w:hAnsi="Arial" w:cs="Arial"/>
          <w:i/>
        </w:rPr>
        <w:t>does</w:t>
      </w:r>
      <w:r w:rsidR="00D1531E">
        <w:rPr>
          <w:rFonts w:ascii="Arial" w:hAnsi="Arial" w:cs="Arial"/>
          <w:i/>
        </w:rPr>
        <w:t xml:space="preserve"> that meet the 8-year requirement</w:t>
      </w:r>
      <w:r w:rsidR="00287BE7">
        <w:rPr>
          <w:rFonts w:ascii="Arial" w:hAnsi="Arial" w:cs="Arial"/>
          <w:i/>
        </w:rPr>
        <w:t xml:space="preserve"> from this one being audited</w:t>
      </w:r>
      <w:r w:rsidR="00477B28">
        <w:rPr>
          <w:rFonts w:ascii="Arial" w:hAnsi="Arial" w:cs="Arial"/>
          <w:i/>
        </w:rPr>
        <w:t>; whether the QA process was</w:t>
      </w:r>
      <w:r w:rsidR="00287BE7">
        <w:rPr>
          <w:rFonts w:ascii="Arial" w:hAnsi="Arial" w:cs="Arial"/>
          <w:i/>
        </w:rPr>
        <w:t xml:space="preserve"> (at least largely)</w:t>
      </w:r>
      <w:r w:rsidR="00477B28">
        <w:rPr>
          <w:rFonts w:ascii="Arial" w:hAnsi="Arial" w:cs="Arial"/>
          <w:i/>
        </w:rPr>
        <w:t xml:space="preserve"> compliant throughout; and summarizing any significant issues found during the audit.</w:t>
      </w:r>
      <w:r w:rsidR="007E5A84">
        <w:rPr>
          <w:rFonts w:ascii="Arial" w:hAnsi="Arial" w:cs="Arial"/>
          <w:i/>
        </w:rPr>
        <w:t xml:space="preserve"> Add reference(s) to any recommendations/suggestions, as necessary.</w:t>
      </w:r>
      <w:r w:rsidR="00F80415">
        <w:rPr>
          <w:rFonts w:ascii="Arial" w:hAnsi="Arial" w:cs="Arial"/>
          <w:i/>
        </w:rPr>
        <w:t>]</w:t>
      </w:r>
    </w:p>
    <w:p w14:paraId="4BD269E9" w14:textId="77777777" w:rsidR="00A67572" w:rsidRPr="00D76F3B" w:rsidRDefault="00A67572" w:rsidP="004E69D2">
      <w:pPr>
        <w:pStyle w:val="Heading5"/>
        <w:ind w:left="720"/>
      </w:pPr>
      <w:r w:rsidRPr="00D76F3B">
        <w:t>Initial Institutional Process</w:t>
      </w:r>
    </w:p>
    <w:p w14:paraId="687F99DE" w14:textId="77777777" w:rsidR="00477B28" w:rsidRDefault="00696035" w:rsidP="00254000">
      <w:pPr>
        <w:pStyle w:val="ListParagraph"/>
        <w:numPr>
          <w:ilvl w:val="1"/>
          <w:numId w:val="7"/>
        </w:numPr>
        <w:spacing w:after="220"/>
        <w:ind w:left="1260"/>
        <w:rPr>
          <w:rFonts w:ascii="Arial" w:hAnsi="Arial" w:cs="Arial"/>
          <w:b/>
          <w:color w:val="0072BF" w:themeColor="accent1" w:themeShade="BF"/>
        </w:rPr>
      </w:pPr>
      <w:r>
        <w:rPr>
          <w:rFonts w:ascii="Arial" w:hAnsi="Arial" w:cs="Arial"/>
          <w:b/>
          <w:color w:val="0072BF" w:themeColor="accent1" w:themeShade="BF"/>
        </w:rPr>
        <w:t xml:space="preserve">Schedule of Reviews </w:t>
      </w:r>
    </w:p>
    <w:p w14:paraId="3B13CD19" w14:textId="1E9D8595" w:rsidR="008E7FC2" w:rsidRPr="007E5A84" w:rsidRDefault="00477B28" w:rsidP="00A67572">
      <w:pPr>
        <w:pStyle w:val="ListParagraph"/>
        <w:numPr>
          <w:ilvl w:val="0"/>
          <w:numId w:val="0"/>
        </w:numPr>
        <w:spacing w:after="220"/>
        <w:ind w:left="1260"/>
        <w:rPr>
          <w:rFonts w:ascii="Arial" w:hAnsi="Arial" w:cs="Arial"/>
          <w:i/>
        </w:rPr>
      </w:pPr>
      <w:r w:rsidRPr="007E5A84">
        <w:rPr>
          <w:rFonts w:ascii="Arial" w:hAnsi="Arial" w:cs="Arial"/>
          <w:i/>
        </w:rPr>
        <w:t>[</w:t>
      </w:r>
      <w:r w:rsidR="007E5A84">
        <w:rPr>
          <w:rFonts w:ascii="Arial" w:hAnsi="Arial" w:cs="Arial"/>
          <w:i/>
        </w:rPr>
        <w:t>Note whether t</w:t>
      </w:r>
      <w:r w:rsidRPr="007E5A84">
        <w:rPr>
          <w:rFonts w:ascii="Arial" w:hAnsi="Arial" w:cs="Arial"/>
          <w:i/>
        </w:rPr>
        <w:t>he</w:t>
      </w:r>
      <w:r w:rsidR="00CC0F4D">
        <w:rPr>
          <w:rFonts w:ascii="Arial" w:hAnsi="Arial" w:cs="Arial"/>
          <w:i/>
        </w:rPr>
        <w:t xml:space="preserve"> actual</w:t>
      </w:r>
      <w:r w:rsidRPr="007E5A84">
        <w:rPr>
          <w:rFonts w:ascii="Arial" w:hAnsi="Arial" w:cs="Arial"/>
          <w:i/>
        </w:rPr>
        <w:t xml:space="preserve"> </w:t>
      </w:r>
      <w:r w:rsidR="00DB2EF9">
        <w:rPr>
          <w:rFonts w:ascii="Arial" w:hAnsi="Arial" w:cs="Arial"/>
          <w:i/>
        </w:rPr>
        <w:t>timing</w:t>
      </w:r>
      <w:r w:rsidR="00CC0F4D">
        <w:rPr>
          <w:rFonts w:ascii="Arial" w:hAnsi="Arial" w:cs="Arial"/>
          <w:i/>
        </w:rPr>
        <w:t xml:space="preserve"> of the CPR</w:t>
      </w:r>
      <w:r w:rsidRPr="007E5A84">
        <w:rPr>
          <w:rFonts w:ascii="Arial" w:hAnsi="Arial" w:cs="Arial"/>
          <w:i/>
        </w:rPr>
        <w:t xml:space="preserve"> was compliant / not compliant</w:t>
      </w:r>
      <w:r w:rsidR="007E5A84">
        <w:rPr>
          <w:rFonts w:ascii="Arial" w:hAnsi="Arial" w:cs="Arial"/>
          <w:i/>
        </w:rPr>
        <w:t xml:space="preserve">. </w:t>
      </w:r>
      <w:r w:rsidR="008F7CD0">
        <w:rPr>
          <w:rFonts w:ascii="Arial" w:hAnsi="Arial" w:cs="Arial"/>
          <w:i/>
        </w:rPr>
        <w:t xml:space="preserve">Did the CPR occur within 8 years of the last CPR? Did it occur approximately on schedule? Were there any major delays? Etc. </w:t>
      </w:r>
      <w:r w:rsidR="008E7FC2" w:rsidRPr="007E5A84">
        <w:rPr>
          <w:rFonts w:ascii="Arial" w:hAnsi="Arial" w:cs="Arial"/>
          <w:i/>
        </w:rPr>
        <w:t xml:space="preserve">If not compliant, </w:t>
      </w:r>
      <w:r w:rsidR="004F3706">
        <w:rPr>
          <w:rFonts w:ascii="Arial" w:hAnsi="Arial" w:cs="Arial"/>
          <w:i/>
        </w:rPr>
        <w:t>add</w:t>
      </w:r>
      <w:r w:rsidR="008E7FC2" w:rsidRPr="007E5A84">
        <w:rPr>
          <w:rFonts w:ascii="Arial" w:hAnsi="Arial" w:cs="Arial"/>
          <w:i/>
        </w:rPr>
        <w:t xml:space="preserve"> </w:t>
      </w:r>
      <w:r w:rsidR="004F3706">
        <w:rPr>
          <w:rFonts w:ascii="Arial" w:hAnsi="Arial" w:cs="Arial"/>
          <w:i/>
        </w:rPr>
        <w:t xml:space="preserve">applicable </w:t>
      </w:r>
      <w:r w:rsidR="008E7FC2" w:rsidRPr="007E5A84">
        <w:rPr>
          <w:rFonts w:ascii="Arial" w:hAnsi="Arial" w:cs="Arial"/>
          <w:i/>
        </w:rPr>
        <w:t xml:space="preserve">comments </w:t>
      </w:r>
      <w:r w:rsidR="004F3706">
        <w:rPr>
          <w:rFonts w:ascii="Arial" w:hAnsi="Arial" w:cs="Arial"/>
          <w:i/>
        </w:rPr>
        <w:t>based on</w:t>
      </w:r>
      <w:r w:rsidR="008E7FC2" w:rsidRPr="007E5A84">
        <w:rPr>
          <w:rFonts w:ascii="Arial" w:hAnsi="Arial" w:cs="Arial"/>
          <w:i/>
        </w:rPr>
        <w:t xml:space="preserve"> desk audit </w:t>
      </w:r>
      <w:r w:rsidR="004F3706">
        <w:rPr>
          <w:rFonts w:ascii="Arial" w:hAnsi="Arial" w:cs="Arial"/>
          <w:i/>
        </w:rPr>
        <w:t>report</w:t>
      </w:r>
      <w:r w:rsidR="008E7FC2" w:rsidRPr="007E5A84">
        <w:rPr>
          <w:rFonts w:ascii="Arial" w:hAnsi="Arial" w:cs="Arial"/>
          <w:i/>
        </w:rPr>
        <w:t xml:space="preserve"> </w:t>
      </w:r>
      <w:r w:rsidR="00301F28">
        <w:rPr>
          <w:rFonts w:ascii="Arial" w:hAnsi="Arial" w:cs="Arial"/>
          <w:i/>
        </w:rPr>
        <w:t xml:space="preserve">section A </w:t>
      </w:r>
      <w:r w:rsidR="008E7FC2" w:rsidRPr="007E5A84">
        <w:rPr>
          <w:rFonts w:ascii="Arial" w:hAnsi="Arial" w:cs="Arial"/>
          <w:i/>
        </w:rPr>
        <w:t xml:space="preserve">and </w:t>
      </w:r>
      <w:r w:rsidR="00301F28">
        <w:rPr>
          <w:rFonts w:ascii="Arial" w:hAnsi="Arial" w:cs="Arial"/>
          <w:i/>
        </w:rPr>
        <w:t xml:space="preserve">any applicable </w:t>
      </w:r>
      <w:r w:rsidR="008E7FC2" w:rsidRPr="007E5A84">
        <w:rPr>
          <w:rFonts w:ascii="Arial" w:hAnsi="Arial" w:cs="Arial"/>
          <w:i/>
        </w:rPr>
        <w:t>site visit notes.</w:t>
      </w:r>
      <w:r w:rsidR="00F80415">
        <w:rPr>
          <w:rFonts w:ascii="Arial" w:hAnsi="Arial" w:cs="Arial"/>
          <w:i/>
        </w:rPr>
        <w:t xml:space="preserve"> Also note whether a recommendation, suggestion, commendation or best practice is needed and if so, give an indication of what this should be.</w:t>
      </w:r>
      <w:r w:rsidR="007E5A84">
        <w:rPr>
          <w:rFonts w:ascii="Arial" w:hAnsi="Arial" w:cs="Arial"/>
          <w:i/>
        </w:rPr>
        <w:t>]</w:t>
      </w:r>
      <w:r w:rsidR="008E7FC2" w:rsidRPr="007E5A84">
        <w:rPr>
          <w:rFonts w:ascii="Arial" w:hAnsi="Arial" w:cs="Arial"/>
          <w:i/>
        </w:rPr>
        <w:t xml:space="preserve"> </w:t>
      </w:r>
    </w:p>
    <w:p w14:paraId="1A7E666A" w14:textId="77777777" w:rsidR="007E5A84" w:rsidRPr="00A67572" w:rsidRDefault="007E5A84" w:rsidP="00A67572">
      <w:pPr>
        <w:pStyle w:val="ListParagraph"/>
        <w:numPr>
          <w:ilvl w:val="0"/>
          <w:numId w:val="0"/>
        </w:numPr>
        <w:spacing w:after="220"/>
        <w:ind w:left="1260"/>
        <w:rPr>
          <w:rFonts w:ascii="Arial" w:hAnsi="Arial" w:cs="Arial"/>
          <w:color w:val="0072BF" w:themeColor="accent1" w:themeShade="BF"/>
        </w:rPr>
      </w:pPr>
    </w:p>
    <w:p w14:paraId="20104E7E" w14:textId="7D48720E" w:rsidR="00477B28" w:rsidRPr="009126E8" w:rsidRDefault="008D18F8" w:rsidP="00254000">
      <w:pPr>
        <w:pStyle w:val="ListParagraph"/>
        <w:numPr>
          <w:ilvl w:val="1"/>
          <w:numId w:val="7"/>
        </w:numPr>
        <w:spacing w:after="220"/>
        <w:ind w:left="1260"/>
        <w:rPr>
          <w:rFonts w:ascii="Arial" w:hAnsi="Arial" w:cs="Arial"/>
          <w:b/>
          <w:color w:val="0072BF" w:themeColor="accent1" w:themeShade="BF"/>
        </w:rPr>
      </w:pPr>
      <w:r w:rsidRPr="009126E8">
        <w:rPr>
          <w:rFonts w:ascii="Arial" w:hAnsi="Arial" w:cs="Arial"/>
          <w:b/>
          <w:color w:val="0072BF" w:themeColor="accent1" w:themeShade="BF"/>
        </w:rPr>
        <w:t>Initiation of the Self-Study Process</w:t>
      </w:r>
    </w:p>
    <w:p w14:paraId="0806FDEC" w14:textId="0508EE71" w:rsidR="00A77B9B" w:rsidRPr="00A77B9B" w:rsidRDefault="00A77B9B" w:rsidP="00A67572">
      <w:pPr>
        <w:pStyle w:val="ListParagraph"/>
        <w:numPr>
          <w:ilvl w:val="0"/>
          <w:numId w:val="0"/>
        </w:numPr>
        <w:spacing w:after="220"/>
        <w:ind w:left="1260"/>
        <w:rPr>
          <w:rFonts w:ascii="Arial" w:hAnsi="Arial" w:cs="Arial"/>
          <w:i/>
        </w:rPr>
      </w:pPr>
      <w:bookmarkStart w:id="3" w:name="_Hlk146552899"/>
      <w:r w:rsidRPr="00A77B9B">
        <w:rPr>
          <w:rFonts w:ascii="Arial" w:hAnsi="Arial" w:cs="Arial"/>
          <w:i/>
        </w:rPr>
        <w:t xml:space="preserve">[Note whether the </w:t>
      </w:r>
      <w:r>
        <w:rPr>
          <w:rFonts w:ascii="Arial" w:hAnsi="Arial" w:cs="Arial"/>
          <w:i/>
        </w:rPr>
        <w:t xml:space="preserve">initiation </w:t>
      </w:r>
      <w:r w:rsidR="008F7CD0">
        <w:rPr>
          <w:rFonts w:ascii="Arial" w:hAnsi="Arial" w:cs="Arial"/>
          <w:i/>
        </w:rPr>
        <w:t xml:space="preserve">of the CPR </w:t>
      </w:r>
      <w:r w:rsidRPr="00A77B9B">
        <w:rPr>
          <w:rFonts w:ascii="Arial" w:hAnsi="Arial" w:cs="Arial"/>
          <w:i/>
        </w:rPr>
        <w:t>process was compliant / not compliant. If not compliant, add applicable comments based on desk audit report</w:t>
      </w:r>
      <w:r w:rsidR="00301F28">
        <w:rPr>
          <w:rFonts w:ascii="Arial" w:hAnsi="Arial" w:cs="Arial"/>
          <w:i/>
        </w:rPr>
        <w:t xml:space="preserve"> section 1. A. i.</w:t>
      </w:r>
      <w:r w:rsidRPr="00A77B9B">
        <w:rPr>
          <w:rFonts w:ascii="Arial" w:hAnsi="Arial" w:cs="Arial"/>
          <w:i/>
        </w:rPr>
        <w:t xml:space="preserve"> and </w:t>
      </w:r>
      <w:r w:rsidR="00301F28">
        <w:rPr>
          <w:rFonts w:ascii="Arial" w:hAnsi="Arial" w:cs="Arial"/>
          <w:i/>
        </w:rPr>
        <w:t xml:space="preserve">any applicable </w:t>
      </w:r>
      <w:r w:rsidRPr="00A77B9B">
        <w:rPr>
          <w:rFonts w:ascii="Arial" w:hAnsi="Arial" w:cs="Arial"/>
          <w:i/>
        </w:rPr>
        <w:t>site visit notes.</w:t>
      </w:r>
      <w:r w:rsidR="00F80415">
        <w:rPr>
          <w:rFonts w:ascii="Arial" w:hAnsi="Arial" w:cs="Arial"/>
          <w:i/>
        </w:rPr>
        <w:t xml:space="preserve"> Also note whether a recommendation, suggestion, commendation or best practice is needed and if so, give an indication of what this should be.</w:t>
      </w:r>
      <w:r w:rsidRPr="00A77B9B">
        <w:rPr>
          <w:rFonts w:ascii="Arial" w:hAnsi="Arial" w:cs="Arial"/>
          <w:i/>
        </w:rPr>
        <w:t>]</w:t>
      </w:r>
      <w:bookmarkEnd w:id="3"/>
      <w:r w:rsidRPr="00A77B9B">
        <w:rPr>
          <w:rFonts w:ascii="Arial" w:hAnsi="Arial" w:cs="Arial"/>
          <w:i/>
        </w:rPr>
        <w:t xml:space="preserve"> </w:t>
      </w:r>
    </w:p>
    <w:p w14:paraId="4E27A87D" w14:textId="6549DFA0" w:rsidR="00477B28" w:rsidRPr="00A67572" w:rsidRDefault="00477B28" w:rsidP="00A67572">
      <w:pPr>
        <w:pStyle w:val="ListParagraph"/>
        <w:numPr>
          <w:ilvl w:val="0"/>
          <w:numId w:val="0"/>
        </w:numPr>
        <w:spacing w:after="220"/>
        <w:ind w:left="1260"/>
        <w:rPr>
          <w:rFonts w:ascii="Arial" w:hAnsi="Arial" w:cs="Arial"/>
        </w:rPr>
      </w:pPr>
    </w:p>
    <w:p w14:paraId="6277A0D8" w14:textId="082F0795" w:rsidR="00477B28" w:rsidRDefault="00477B28" w:rsidP="00254000">
      <w:pPr>
        <w:pStyle w:val="ListParagraph"/>
        <w:numPr>
          <w:ilvl w:val="1"/>
          <w:numId w:val="7"/>
        </w:numPr>
        <w:spacing w:after="220"/>
        <w:ind w:left="1260"/>
        <w:rPr>
          <w:rFonts w:ascii="Arial" w:hAnsi="Arial" w:cs="Arial"/>
          <w:b/>
          <w:color w:val="0072BF" w:themeColor="accent1" w:themeShade="BF"/>
        </w:rPr>
      </w:pPr>
      <w:r>
        <w:rPr>
          <w:rFonts w:ascii="Arial" w:hAnsi="Arial" w:cs="Arial"/>
          <w:b/>
          <w:color w:val="0072BF" w:themeColor="accent1" w:themeShade="BF"/>
        </w:rPr>
        <w:t xml:space="preserve">The Program or </w:t>
      </w:r>
      <w:r w:rsidR="00EA4E44">
        <w:rPr>
          <w:rFonts w:ascii="Arial" w:hAnsi="Arial" w:cs="Arial"/>
          <w:b/>
          <w:color w:val="0072BF" w:themeColor="accent1" w:themeShade="BF"/>
        </w:rPr>
        <w:t>P</w:t>
      </w:r>
      <w:r>
        <w:rPr>
          <w:rFonts w:ascii="Arial" w:hAnsi="Arial" w:cs="Arial"/>
          <w:b/>
          <w:color w:val="0072BF" w:themeColor="accent1" w:themeShade="BF"/>
        </w:rPr>
        <w:t>rograms</w:t>
      </w:r>
    </w:p>
    <w:p w14:paraId="106C8FF7" w14:textId="789F832E" w:rsidR="00A77B9B" w:rsidRPr="00A77B9B" w:rsidRDefault="00A77B9B" w:rsidP="009F21F5">
      <w:pPr>
        <w:pStyle w:val="ListParagraph"/>
        <w:numPr>
          <w:ilvl w:val="0"/>
          <w:numId w:val="0"/>
        </w:numPr>
        <w:spacing w:after="220"/>
        <w:ind w:left="1260"/>
        <w:rPr>
          <w:rFonts w:ascii="Arial" w:hAnsi="Arial" w:cs="Arial"/>
          <w:i/>
        </w:rPr>
      </w:pPr>
      <w:r w:rsidRPr="00A77B9B">
        <w:rPr>
          <w:rFonts w:ascii="Arial" w:hAnsi="Arial" w:cs="Arial"/>
          <w:i/>
        </w:rPr>
        <w:t>[Note whether the process was compliant / not compliant</w:t>
      </w:r>
      <w:r w:rsidR="00874EFE">
        <w:rPr>
          <w:rFonts w:ascii="Arial" w:hAnsi="Arial" w:cs="Arial"/>
          <w:i/>
        </w:rPr>
        <w:t xml:space="preserve"> in terms of clarity</w:t>
      </w:r>
      <w:r w:rsidR="00D05210">
        <w:rPr>
          <w:rFonts w:ascii="Arial" w:hAnsi="Arial" w:cs="Arial"/>
          <w:i/>
        </w:rPr>
        <w:t xml:space="preserve"> re</w:t>
      </w:r>
      <w:r w:rsidR="008F7CD0">
        <w:rPr>
          <w:rFonts w:ascii="Arial" w:hAnsi="Arial" w:cs="Arial"/>
          <w:i/>
        </w:rPr>
        <w:t xml:space="preserve">: </w:t>
      </w:r>
      <w:r w:rsidR="00D05210">
        <w:rPr>
          <w:rFonts w:ascii="Arial" w:hAnsi="Arial" w:cs="Arial"/>
          <w:i/>
        </w:rPr>
        <w:t xml:space="preserve"> </w:t>
      </w:r>
      <w:r w:rsidR="008F7CD0">
        <w:rPr>
          <w:rFonts w:ascii="Arial" w:hAnsi="Arial" w:cs="Arial"/>
          <w:i/>
        </w:rPr>
        <w:t xml:space="preserve">the launch of the CPR clearly </w:t>
      </w:r>
      <w:r w:rsidR="00D05210">
        <w:rPr>
          <w:rFonts w:ascii="Arial" w:hAnsi="Arial" w:cs="Arial"/>
          <w:i/>
        </w:rPr>
        <w:t>identifying which program(s) are to be reviewed</w:t>
      </w:r>
      <w:r w:rsidRPr="00A77B9B">
        <w:rPr>
          <w:rFonts w:ascii="Arial" w:hAnsi="Arial" w:cs="Arial"/>
          <w:i/>
        </w:rPr>
        <w:t xml:space="preserve">. If not </w:t>
      </w:r>
      <w:r w:rsidRPr="00A77B9B">
        <w:rPr>
          <w:rFonts w:ascii="Arial" w:hAnsi="Arial" w:cs="Arial"/>
          <w:i/>
        </w:rPr>
        <w:lastRenderedPageBreak/>
        <w:t xml:space="preserve">compliant, add applicable comments based on desk audit report </w:t>
      </w:r>
      <w:r w:rsidR="00313239">
        <w:rPr>
          <w:rFonts w:ascii="Arial" w:hAnsi="Arial" w:cs="Arial"/>
          <w:i/>
        </w:rPr>
        <w:t>section 1. A. ii. a</w:t>
      </w:r>
      <w:r w:rsidRPr="00A77B9B">
        <w:rPr>
          <w:rFonts w:ascii="Arial" w:hAnsi="Arial" w:cs="Arial"/>
          <w:i/>
        </w:rPr>
        <w:t>nd</w:t>
      </w:r>
      <w:r w:rsidR="00313239">
        <w:rPr>
          <w:rFonts w:ascii="Arial" w:hAnsi="Arial" w:cs="Arial"/>
          <w:i/>
        </w:rPr>
        <w:t xml:space="preserve"> any applicable</w:t>
      </w:r>
      <w:r w:rsidRPr="00A77B9B">
        <w:rPr>
          <w:rFonts w:ascii="Arial" w:hAnsi="Arial" w:cs="Arial"/>
          <w:i/>
        </w:rPr>
        <w:t xml:space="preserve"> site visit notes.</w:t>
      </w:r>
      <w:r w:rsidR="00F80415">
        <w:rPr>
          <w:rFonts w:ascii="Arial" w:hAnsi="Arial" w:cs="Arial"/>
          <w:i/>
        </w:rPr>
        <w:t xml:space="preserve"> Also note whether a recommendation, suggestion, commendation or best practice is needed and if so, give an indication of what this should be.</w:t>
      </w:r>
      <w:r w:rsidRPr="00A77B9B">
        <w:rPr>
          <w:rFonts w:ascii="Arial" w:hAnsi="Arial" w:cs="Arial"/>
          <w:i/>
        </w:rPr>
        <w:t xml:space="preserve">] </w:t>
      </w:r>
    </w:p>
    <w:p w14:paraId="2FDBBEAA" w14:textId="77777777" w:rsidR="00A77B9B" w:rsidRPr="00A77B9B" w:rsidRDefault="00A77B9B" w:rsidP="009F21F5">
      <w:pPr>
        <w:pStyle w:val="ListParagraph"/>
        <w:numPr>
          <w:ilvl w:val="0"/>
          <w:numId w:val="0"/>
        </w:numPr>
        <w:spacing w:after="220"/>
        <w:ind w:left="1260"/>
        <w:rPr>
          <w:rFonts w:ascii="Arial" w:hAnsi="Arial" w:cs="Arial"/>
          <w:b/>
          <w:color w:val="0072BF" w:themeColor="accent1" w:themeShade="BF"/>
        </w:rPr>
      </w:pPr>
    </w:p>
    <w:p w14:paraId="2A68D1A9" w14:textId="7F2056A7" w:rsidR="00477B28" w:rsidRPr="004E69D2" w:rsidRDefault="00477B28" w:rsidP="004E69D2">
      <w:pPr>
        <w:pStyle w:val="Heading5"/>
        <w:ind w:left="720"/>
      </w:pPr>
      <w:r w:rsidRPr="004E69D2">
        <w:t>Self-study</w:t>
      </w:r>
    </w:p>
    <w:p w14:paraId="16D48190" w14:textId="2278165A" w:rsidR="00D05210" w:rsidRPr="00D05210" w:rsidRDefault="00D05210" w:rsidP="009F21F5">
      <w:pPr>
        <w:spacing w:after="220"/>
        <w:ind w:left="720"/>
        <w:rPr>
          <w:rFonts w:ascii="Arial" w:hAnsi="Arial" w:cs="Arial"/>
          <w:i/>
        </w:rPr>
      </w:pPr>
      <w:r w:rsidRPr="00D05210">
        <w:rPr>
          <w:rFonts w:ascii="Arial" w:hAnsi="Arial" w:cs="Arial"/>
          <w:i/>
        </w:rPr>
        <w:t xml:space="preserve">[Note whether the process was compliant / not compliant in terms of </w:t>
      </w:r>
      <w:r w:rsidR="00AE27B4">
        <w:rPr>
          <w:rFonts w:ascii="Arial" w:hAnsi="Arial" w:cs="Arial"/>
          <w:i/>
        </w:rPr>
        <w:t xml:space="preserve">addressing all of the elements required by </w:t>
      </w:r>
      <w:r w:rsidR="00EA4E44">
        <w:rPr>
          <w:rFonts w:ascii="Arial" w:hAnsi="Arial" w:cs="Arial"/>
          <w:i/>
        </w:rPr>
        <w:t>2021</w:t>
      </w:r>
      <w:r w:rsidR="00AE27B4">
        <w:rPr>
          <w:rFonts w:ascii="Arial" w:hAnsi="Arial" w:cs="Arial"/>
          <w:i/>
        </w:rPr>
        <w:t xml:space="preserve"> QAF </w:t>
      </w:r>
      <w:r w:rsidR="00EA4E44">
        <w:rPr>
          <w:rFonts w:ascii="Arial" w:hAnsi="Arial" w:cs="Arial"/>
          <w:i/>
        </w:rPr>
        <w:t xml:space="preserve">5.1.3 </w:t>
      </w:r>
      <w:r w:rsidR="0049437F">
        <w:rPr>
          <w:rFonts w:ascii="Arial" w:hAnsi="Arial" w:cs="Arial"/>
          <w:i/>
        </w:rPr>
        <w:t>(see Appendix 1 below)</w:t>
      </w:r>
      <w:r w:rsidRPr="00D05210">
        <w:rPr>
          <w:rFonts w:ascii="Arial" w:hAnsi="Arial" w:cs="Arial"/>
          <w:i/>
        </w:rPr>
        <w:t>. If not compliant, add applicable comments based on desk audit report</w:t>
      </w:r>
      <w:r w:rsidR="0049437F">
        <w:rPr>
          <w:rFonts w:ascii="Arial" w:hAnsi="Arial" w:cs="Arial"/>
          <w:i/>
        </w:rPr>
        <w:t xml:space="preserve"> </w:t>
      </w:r>
      <w:r w:rsidR="00301F28">
        <w:rPr>
          <w:rFonts w:ascii="Arial" w:hAnsi="Arial" w:cs="Arial"/>
          <w:i/>
        </w:rPr>
        <w:t xml:space="preserve">section </w:t>
      </w:r>
      <w:r w:rsidR="0049437F">
        <w:rPr>
          <w:rFonts w:ascii="Arial" w:hAnsi="Arial" w:cs="Arial"/>
          <w:i/>
        </w:rPr>
        <w:t xml:space="preserve">B. </w:t>
      </w:r>
      <w:r w:rsidR="00313239">
        <w:rPr>
          <w:rFonts w:ascii="Arial" w:hAnsi="Arial" w:cs="Arial"/>
          <w:i/>
        </w:rPr>
        <w:t>i</w:t>
      </w:r>
      <w:r w:rsidR="0049437F">
        <w:rPr>
          <w:rFonts w:ascii="Arial" w:hAnsi="Arial" w:cs="Arial"/>
          <w:i/>
        </w:rPr>
        <w:t xml:space="preserve"> - xiv</w:t>
      </w:r>
      <w:r w:rsidRPr="00D05210">
        <w:rPr>
          <w:rFonts w:ascii="Arial" w:hAnsi="Arial" w:cs="Arial"/>
          <w:i/>
        </w:rPr>
        <w:t xml:space="preserve"> and </w:t>
      </w:r>
      <w:r w:rsidR="00313239">
        <w:rPr>
          <w:rFonts w:ascii="Arial" w:hAnsi="Arial" w:cs="Arial"/>
          <w:i/>
        </w:rPr>
        <w:t xml:space="preserve">any </w:t>
      </w:r>
      <w:r w:rsidR="0049437F">
        <w:rPr>
          <w:rFonts w:ascii="Arial" w:hAnsi="Arial" w:cs="Arial"/>
          <w:i/>
        </w:rPr>
        <w:t xml:space="preserve">applicable </w:t>
      </w:r>
      <w:r w:rsidRPr="00D05210">
        <w:rPr>
          <w:rFonts w:ascii="Arial" w:hAnsi="Arial" w:cs="Arial"/>
          <w:i/>
        </w:rPr>
        <w:t>site visit notes.</w:t>
      </w:r>
      <w:r w:rsidR="009E20F5">
        <w:rPr>
          <w:rFonts w:ascii="Arial" w:hAnsi="Arial" w:cs="Arial"/>
          <w:i/>
        </w:rPr>
        <w:t xml:space="preserve"> Also note whether a recommendation, suggestion, commendation or best practice is needed and if so, give an indication of what it this should be.</w:t>
      </w:r>
      <w:r w:rsidRPr="00D05210">
        <w:rPr>
          <w:rFonts w:ascii="Arial" w:hAnsi="Arial" w:cs="Arial"/>
          <w:i/>
        </w:rPr>
        <w:t xml:space="preserve">] </w:t>
      </w:r>
    </w:p>
    <w:p w14:paraId="387DA9DB" w14:textId="565C7BFE" w:rsidR="00477B28" w:rsidRPr="0049437F" w:rsidRDefault="00477B28" w:rsidP="004E69D2">
      <w:pPr>
        <w:pStyle w:val="Heading5"/>
        <w:numPr>
          <w:ilvl w:val="0"/>
          <w:numId w:val="0"/>
        </w:numPr>
        <w:spacing w:before="200" w:after="220" w:line="240" w:lineRule="auto"/>
        <w:ind w:left="720"/>
        <w:rPr>
          <w:rFonts w:ascii="Arial" w:hAnsi="Arial" w:cs="Arial"/>
          <w:b w:val="0"/>
        </w:rPr>
      </w:pPr>
    </w:p>
    <w:p w14:paraId="47EA102C" w14:textId="77777777" w:rsidR="00477B28" w:rsidRDefault="00477B28" w:rsidP="00203534">
      <w:pPr>
        <w:pStyle w:val="ListParagraph"/>
        <w:numPr>
          <w:ilvl w:val="0"/>
          <w:numId w:val="11"/>
        </w:numPr>
        <w:spacing w:after="220"/>
        <w:ind w:left="1260"/>
        <w:rPr>
          <w:rFonts w:ascii="Arial" w:hAnsi="Arial" w:cs="Arial"/>
          <w:b/>
          <w:color w:val="0072BF" w:themeColor="accent1" w:themeShade="BF"/>
        </w:rPr>
      </w:pPr>
      <w:r>
        <w:rPr>
          <w:rFonts w:ascii="Arial" w:hAnsi="Arial" w:cs="Arial"/>
          <w:b/>
          <w:color w:val="0072BF" w:themeColor="accent1" w:themeShade="BF"/>
        </w:rPr>
        <w:t>Evaluation Criteria</w:t>
      </w:r>
    </w:p>
    <w:p w14:paraId="54C92496" w14:textId="79FBD71E" w:rsidR="003C5D38" w:rsidRDefault="003C5D38" w:rsidP="009F21F5">
      <w:pPr>
        <w:spacing w:after="220"/>
        <w:ind w:left="1260"/>
        <w:rPr>
          <w:rFonts w:ascii="Arial" w:hAnsi="Arial" w:cs="Arial"/>
          <w:i/>
        </w:rPr>
      </w:pPr>
      <w:r w:rsidRPr="003C5D38">
        <w:rPr>
          <w:rFonts w:ascii="Arial" w:hAnsi="Arial" w:cs="Arial"/>
          <w:i/>
        </w:rPr>
        <w:t xml:space="preserve">[Note whether the process was compliant / not compliant in terms of </w:t>
      </w:r>
      <w:r>
        <w:rPr>
          <w:rFonts w:ascii="Arial" w:hAnsi="Arial" w:cs="Arial"/>
          <w:i/>
        </w:rPr>
        <w:t xml:space="preserve">the self-study minimally addressing all of the Evaluation Criteria outlined in </w:t>
      </w:r>
      <w:r w:rsidR="00B233B5">
        <w:rPr>
          <w:rFonts w:ascii="Arial" w:hAnsi="Arial" w:cs="Arial"/>
          <w:i/>
        </w:rPr>
        <w:t>2</w:t>
      </w:r>
      <w:r w:rsidR="002D3600">
        <w:rPr>
          <w:rFonts w:ascii="Arial" w:hAnsi="Arial" w:cs="Arial"/>
          <w:i/>
        </w:rPr>
        <w:t>021</w:t>
      </w:r>
      <w:r w:rsidR="00B233B5">
        <w:rPr>
          <w:rFonts w:ascii="Arial" w:hAnsi="Arial" w:cs="Arial"/>
          <w:i/>
        </w:rPr>
        <w:t xml:space="preserve"> QAF </w:t>
      </w:r>
      <w:r>
        <w:rPr>
          <w:rFonts w:ascii="Arial" w:hAnsi="Arial" w:cs="Arial"/>
          <w:i/>
        </w:rPr>
        <w:t xml:space="preserve">Section </w:t>
      </w:r>
      <w:r w:rsidR="002D3600">
        <w:rPr>
          <w:rFonts w:ascii="Arial" w:hAnsi="Arial" w:cs="Arial"/>
          <w:i/>
        </w:rPr>
        <w:t>5.1.3.1</w:t>
      </w:r>
      <w:r w:rsidR="00477AC1">
        <w:rPr>
          <w:rFonts w:ascii="Arial" w:hAnsi="Arial" w:cs="Arial"/>
          <w:i/>
        </w:rPr>
        <w:t xml:space="preserve"> (see Appendix 1 below)</w:t>
      </w:r>
      <w:r w:rsidRPr="003C5D38">
        <w:rPr>
          <w:rFonts w:ascii="Arial" w:hAnsi="Arial" w:cs="Arial"/>
          <w:i/>
        </w:rPr>
        <w:t xml:space="preserve">. If not compliant, add applicable comments based on desk audit report section </w:t>
      </w:r>
      <w:r w:rsidR="001B118D">
        <w:rPr>
          <w:rFonts w:ascii="Arial" w:hAnsi="Arial" w:cs="Arial"/>
          <w:i/>
        </w:rPr>
        <w:t>3</w:t>
      </w:r>
      <w:r w:rsidRPr="003C5D38">
        <w:rPr>
          <w:rFonts w:ascii="Arial" w:hAnsi="Arial" w:cs="Arial"/>
          <w:i/>
        </w:rPr>
        <w:t xml:space="preserve">. </w:t>
      </w:r>
      <w:r w:rsidR="001B118D">
        <w:rPr>
          <w:rFonts w:ascii="Arial" w:hAnsi="Arial" w:cs="Arial"/>
          <w:i/>
        </w:rPr>
        <w:t>b</w:t>
      </w:r>
      <w:r w:rsidRPr="003C5D38">
        <w:rPr>
          <w:rFonts w:ascii="Arial" w:hAnsi="Arial" w:cs="Arial"/>
          <w:i/>
        </w:rPr>
        <w:t xml:space="preserve">. and any applicable site visit notes. Also note whether a recommendation, suggestion, commendation or best practice is needed and if so, give an indication of what this should be.] </w:t>
      </w:r>
    </w:p>
    <w:p w14:paraId="5DFC2086" w14:textId="77777777" w:rsidR="009F21F5" w:rsidRPr="009F21F5" w:rsidRDefault="009F21F5" w:rsidP="009F21F5">
      <w:pPr>
        <w:spacing w:after="220"/>
        <w:ind w:left="1260"/>
        <w:rPr>
          <w:rFonts w:ascii="Arial" w:hAnsi="Arial" w:cs="Arial"/>
        </w:rPr>
      </w:pPr>
    </w:p>
    <w:p w14:paraId="09FD7D4B" w14:textId="77777777" w:rsidR="00477B28" w:rsidRPr="004E69D2" w:rsidRDefault="00477B28" w:rsidP="004E69D2">
      <w:pPr>
        <w:pStyle w:val="Heading5"/>
        <w:ind w:left="720"/>
      </w:pPr>
      <w:r w:rsidRPr="004E69D2">
        <w:t>External Evaluation</w:t>
      </w:r>
    </w:p>
    <w:p w14:paraId="5CBC4D22" w14:textId="77777777" w:rsidR="00477B28" w:rsidRDefault="00477B28" w:rsidP="00254000">
      <w:pPr>
        <w:pStyle w:val="ListParagraph"/>
        <w:numPr>
          <w:ilvl w:val="2"/>
          <w:numId w:val="8"/>
        </w:numPr>
        <w:spacing w:after="220"/>
        <w:ind w:left="1260" w:hanging="360"/>
        <w:rPr>
          <w:rFonts w:ascii="Arial" w:hAnsi="Arial" w:cs="Arial"/>
          <w:b/>
          <w:color w:val="0072BF" w:themeColor="accent1" w:themeShade="BF"/>
        </w:rPr>
      </w:pPr>
      <w:r>
        <w:rPr>
          <w:rFonts w:ascii="Arial" w:hAnsi="Arial" w:cs="Arial"/>
          <w:b/>
          <w:color w:val="0072BF" w:themeColor="accent1" w:themeShade="BF"/>
        </w:rPr>
        <w:t>External Perspective</w:t>
      </w:r>
    </w:p>
    <w:p w14:paraId="614D42F8" w14:textId="1020AD75" w:rsidR="008A3477" w:rsidRDefault="008A3477" w:rsidP="008A3477">
      <w:pPr>
        <w:spacing w:after="220"/>
        <w:ind w:left="1260"/>
        <w:rPr>
          <w:rFonts w:ascii="Arial" w:hAnsi="Arial" w:cs="Arial"/>
          <w:i/>
        </w:rPr>
      </w:pPr>
      <w:r w:rsidRPr="008A3477">
        <w:rPr>
          <w:rFonts w:ascii="Arial" w:hAnsi="Arial" w:cs="Arial"/>
          <w:i/>
        </w:rPr>
        <w:t xml:space="preserve">[Note whether the process was compliant / not compliant in terms of the </w:t>
      </w:r>
      <w:r w:rsidR="00AB3D96">
        <w:rPr>
          <w:rFonts w:ascii="Arial" w:hAnsi="Arial" w:cs="Arial"/>
          <w:i/>
        </w:rPr>
        <w:t>results of the external review, as</w:t>
      </w:r>
      <w:r w:rsidRPr="008A3477">
        <w:rPr>
          <w:rFonts w:ascii="Arial" w:hAnsi="Arial" w:cs="Arial"/>
          <w:i/>
        </w:rPr>
        <w:t xml:space="preserve"> outlined in 20</w:t>
      </w:r>
      <w:r w:rsidR="002D3600">
        <w:rPr>
          <w:rFonts w:ascii="Arial" w:hAnsi="Arial" w:cs="Arial"/>
          <w:i/>
        </w:rPr>
        <w:t>21</w:t>
      </w:r>
      <w:r w:rsidRPr="008A3477">
        <w:rPr>
          <w:rFonts w:ascii="Arial" w:hAnsi="Arial" w:cs="Arial"/>
          <w:i/>
        </w:rPr>
        <w:t xml:space="preserve"> QAF Section </w:t>
      </w:r>
      <w:r w:rsidR="002D3600">
        <w:rPr>
          <w:rFonts w:ascii="Arial" w:hAnsi="Arial" w:cs="Arial"/>
          <w:i/>
        </w:rPr>
        <w:t>5.2.1</w:t>
      </w:r>
      <w:r w:rsidRPr="008A3477">
        <w:rPr>
          <w:rFonts w:ascii="Arial" w:hAnsi="Arial" w:cs="Arial"/>
          <w:i/>
        </w:rPr>
        <w:t>. If not compliant, add applicable comments based on desk audit report section 3. b. and any applicable site visit notes. Also note whether a recommendation, suggestion, commendation or best practice is needed and if so, give an indication of what this should be.]</w:t>
      </w:r>
    </w:p>
    <w:p w14:paraId="1B837226" w14:textId="77777777" w:rsidR="008A3477" w:rsidRPr="008A3477" w:rsidRDefault="008A3477" w:rsidP="008A3477">
      <w:pPr>
        <w:spacing w:after="220"/>
        <w:ind w:left="1260"/>
        <w:rPr>
          <w:rFonts w:ascii="Arial" w:hAnsi="Arial" w:cs="Arial"/>
        </w:rPr>
      </w:pPr>
    </w:p>
    <w:p w14:paraId="3045A7BE" w14:textId="77777777" w:rsidR="00477B28" w:rsidRPr="004E69D2" w:rsidRDefault="00477B28" w:rsidP="004E69D2">
      <w:pPr>
        <w:pStyle w:val="Heading5"/>
        <w:ind w:left="720"/>
      </w:pPr>
      <w:r w:rsidRPr="004E69D2">
        <w:t>Internal Perspective</w:t>
      </w:r>
    </w:p>
    <w:p w14:paraId="7B40F8FD" w14:textId="77777777" w:rsidR="00477B28" w:rsidRDefault="00477B28" w:rsidP="00203534">
      <w:pPr>
        <w:pStyle w:val="ListParagraph"/>
        <w:numPr>
          <w:ilvl w:val="0"/>
          <w:numId w:val="9"/>
        </w:numPr>
        <w:spacing w:after="220"/>
        <w:ind w:left="1260" w:hanging="360"/>
        <w:rPr>
          <w:rFonts w:ascii="Arial" w:hAnsi="Arial" w:cs="Arial"/>
          <w:b/>
          <w:color w:val="0072BF" w:themeColor="accent1" w:themeShade="BF"/>
        </w:rPr>
      </w:pPr>
      <w:r>
        <w:rPr>
          <w:rFonts w:ascii="Arial" w:hAnsi="Arial" w:cs="Arial"/>
          <w:b/>
          <w:color w:val="0072BF" w:themeColor="accent1" w:themeShade="BF"/>
        </w:rPr>
        <w:t>Internal Response</w:t>
      </w:r>
    </w:p>
    <w:p w14:paraId="6965B770" w14:textId="49806FA9" w:rsidR="00AB3D96" w:rsidRPr="00AB3D96" w:rsidRDefault="00AB3D96" w:rsidP="00AB3D96">
      <w:pPr>
        <w:spacing w:after="220"/>
        <w:ind w:left="1260"/>
        <w:rPr>
          <w:rFonts w:ascii="Arial" w:hAnsi="Arial" w:cs="Arial"/>
          <w:i/>
        </w:rPr>
      </w:pPr>
      <w:r w:rsidRPr="00AB3D96">
        <w:rPr>
          <w:rFonts w:ascii="Arial" w:hAnsi="Arial" w:cs="Arial"/>
          <w:i/>
        </w:rPr>
        <w:t xml:space="preserve">[Note whether the process was compliant / not compliant in terms of the self-study minimally addressing </w:t>
      </w:r>
      <w:r w:rsidR="00B046E0">
        <w:rPr>
          <w:rFonts w:ascii="Arial" w:hAnsi="Arial" w:cs="Arial"/>
          <w:i/>
        </w:rPr>
        <w:t>the requirements</w:t>
      </w:r>
      <w:r w:rsidRPr="00AB3D96">
        <w:rPr>
          <w:rFonts w:ascii="Arial" w:hAnsi="Arial" w:cs="Arial"/>
          <w:i/>
        </w:rPr>
        <w:t xml:space="preserve"> outlined in 2</w:t>
      </w:r>
      <w:r w:rsidR="002D3600">
        <w:rPr>
          <w:rFonts w:ascii="Arial" w:hAnsi="Arial" w:cs="Arial"/>
          <w:i/>
        </w:rPr>
        <w:t>021</w:t>
      </w:r>
      <w:r w:rsidRPr="00AB3D96">
        <w:rPr>
          <w:rFonts w:ascii="Arial" w:hAnsi="Arial" w:cs="Arial"/>
          <w:i/>
        </w:rPr>
        <w:t xml:space="preserve"> QAF Section </w:t>
      </w:r>
      <w:r w:rsidR="006E7BA7">
        <w:rPr>
          <w:rFonts w:ascii="Arial" w:hAnsi="Arial" w:cs="Arial"/>
          <w:i/>
        </w:rPr>
        <w:t>5.3.1</w:t>
      </w:r>
      <w:r w:rsidRPr="00AB3D96">
        <w:rPr>
          <w:rFonts w:ascii="Arial" w:hAnsi="Arial" w:cs="Arial"/>
          <w:i/>
        </w:rPr>
        <w:t xml:space="preserve">. If not compliant, add applicable comments based on desk audit report section </w:t>
      </w:r>
      <w:r w:rsidR="00B046E0">
        <w:rPr>
          <w:rFonts w:ascii="Arial" w:hAnsi="Arial" w:cs="Arial"/>
          <w:i/>
        </w:rPr>
        <w:t>5</w:t>
      </w:r>
      <w:r w:rsidRPr="00AB3D96">
        <w:rPr>
          <w:rFonts w:ascii="Arial" w:hAnsi="Arial" w:cs="Arial"/>
          <w:i/>
        </w:rPr>
        <w:t xml:space="preserve">. </w:t>
      </w:r>
      <w:r w:rsidR="00087A27">
        <w:rPr>
          <w:rFonts w:ascii="Arial" w:hAnsi="Arial" w:cs="Arial"/>
          <w:i/>
        </w:rPr>
        <w:t xml:space="preserve">a. </w:t>
      </w:r>
      <w:r w:rsidRPr="00AB3D96">
        <w:rPr>
          <w:rFonts w:ascii="Arial" w:hAnsi="Arial" w:cs="Arial"/>
          <w:i/>
        </w:rPr>
        <w:t>and any applicable site visit notes. Also note whether a recommendation, suggestion, commendation or best practice is needed and if so, give an indication of what this should be.]</w:t>
      </w:r>
    </w:p>
    <w:p w14:paraId="47905B9B" w14:textId="608BAC81" w:rsidR="00477B28" w:rsidRPr="00490ADA" w:rsidRDefault="00477B28" w:rsidP="00AB3D96">
      <w:pPr>
        <w:spacing w:after="220"/>
        <w:ind w:left="1260"/>
        <w:rPr>
          <w:rFonts w:ascii="Arial" w:hAnsi="Arial" w:cs="Arial"/>
          <w:b/>
          <w:color w:val="0072BF" w:themeColor="accent1" w:themeShade="BF"/>
        </w:rPr>
      </w:pPr>
    </w:p>
    <w:p w14:paraId="08173609" w14:textId="77777777" w:rsidR="00477B28" w:rsidRDefault="00477B28" w:rsidP="00203534">
      <w:pPr>
        <w:pStyle w:val="ListParagraph"/>
        <w:numPr>
          <w:ilvl w:val="0"/>
          <w:numId w:val="9"/>
        </w:numPr>
        <w:spacing w:after="220"/>
        <w:ind w:left="1260" w:hanging="360"/>
        <w:rPr>
          <w:rFonts w:ascii="Arial" w:hAnsi="Arial" w:cs="Arial"/>
          <w:b/>
          <w:color w:val="0072BF" w:themeColor="accent1" w:themeShade="BF"/>
        </w:rPr>
      </w:pPr>
      <w:r>
        <w:rPr>
          <w:rFonts w:ascii="Arial" w:hAnsi="Arial" w:cs="Arial"/>
          <w:b/>
          <w:color w:val="0072BF" w:themeColor="accent1" w:themeShade="BF"/>
        </w:rPr>
        <w:t>Final Assessment Report and Implementation Plan</w:t>
      </w:r>
    </w:p>
    <w:p w14:paraId="559295D1" w14:textId="69D66072" w:rsidR="00087A27" w:rsidRPr="00087A27" w:rsidRDefault="00087A27" w:rsidP="00087A27">
      <w:pPr>
        <w:spacing w:after="220"/>
        <w:ind w:left="1260"/>
        <w:rPr>
          <w:rFonts w:ascii="Arial" w:hAnsi="Arial" w:cs="Arial"/>
          <w:i/>
        </w:rPr>
      </w:pPr>
      <w:r w:rsidRPr="00087A27">
        <w:rPr>
          <w:rFonts w:ascii="Arial" w:hAnsi="Arial" w:cs="Arial"/>
          <w:i/>
        </w:rPr>
        <w:t xml:space="preserve">[Note whether the process was compliant / not compliant in terms of the self-study minimally addressing </w:t>
      </w:r>
      <w:r w:rsidR="00516C30">
        <w:rPr>
          <w:rFonts w:ascii="Arial" w:hAnsi="Arial" w:cs="Arial"/>
          <w:i/>
        </w:rPr>
        <w:t xml:space="preserve">the requirements outlined in Section </w:t>
      </w:r>
      <w:r w:rsidR="006E7BA7">
        <w:rPr>
          <w:rFonts w:ascii="Arial" w:hAnsi="Arial" w:cs="Arial"/>
          <w:i/>
        </w:rPr>
        <w:t>5.3.2</w:t>
      </w:r>
      <w:r w:rsidR="00516C30">
        <w:rPr>
          <w:rFonts w:ascii="Arial" w:hAnsi="Arial" w:cs="Arial"/>
          <w:i/>
        </w:rPr>
        <w:t xml:space="preserve"> of the</w:t>
      </w:r>
      <w:r w:rsidRPr="00087A27">
        <w:rPr>
          <w:rFonts w:ascii="Arial" w:hAnsi="Arial" w:cs="Arial"/>
          <w:i/>
        </w:rPr>
        <w:t xml:space="preserve"> 20</w:t>
      </w:r>
      <w:r w:rsidR="006E7BA7">
        <w:rPr>
          <w:rFonts w:ascii="Arial" w:hAnsi="Arial" w:cs="Arial"/>
          <w:i/>
        </w:rPr>
        <w:t>21</w:t>
      </w:r>
      <w:r w:rsidRPr="00087A27">
        <w:rPr>
          <w:rFonts w:ascii="Arial" w:hAnsi="Arial" w:cs="Arial"/>
          <w:i/>
        </w:rPr>
        <w:t xml:space="preserve"> QAF. If not compliant, add applicable comments based on desk audit report section </w:t>
      </w:r>
      <w:r w:rsidR="002874CA">
        <w:rPr>
          <w:rFonts w:ascii="Arial" w:hAnsi="Arial" w:cs="Arial"/>
          <w:i/>
        </w:rPr>
        <w:t>5</w:t>
      </w:r>
      <w:r w:rsidRPr="00087A27">
        <w:rPr>
          <w:rFonts w:ascii="Arial" w:hAnsi="Arial" w:cs="Arial"/>
          <w:i/>
        </w:rPr>
        <w:t xml:space="preserve">. </w:t>
      </w:r>
      <w:r w:rsidR="002874CA">
        <w:rPr>
          <w:rFonts w:ascii="Arial" w:hAnsi="Arial" w:cs="Arial"/>
          <w:i/>
        </w:rPr>
        <w:t>b</w:t>
      </w:r>
      <w:r w:rsidRPr="00087A27">
        <w:rPr>
          <w:rFonts w:ascii="Arial" w:hAnsi="Arial" w:cs="Arial"/>
          <w:i/>
        </w:rPr>
        <w:t xml:space="preserve">. and </w:t>
      </w:r>
      <w:r w:rsidR="002874CA">
        <w:rPr>
          <w:rFonts w:ascii="Arial" w:hAnsi="Arial" w:cs="Arial"/>
          <w:i/>
        </w:rPr>
        <w:t>c</w:t>
      </w:r>
      <w:r w:rsidRPr="00087A27">
        <w:rPr>
          <w:rFonts w:ascii="Arial" w:hAnsi="Arial" w:cs="Arial"/>
          <w:i/>
        </w:rPr>
        <w:t>. and any applicable site visit notes. Also note whether a recommendation, suggestion, commendation or best practice is needed and if so, give an indication of what this should be.]</w:t>
      </w:r>
    </w:p>
    <w:p w14:paraId="738A49C4" w14:textId="77777777" w:rsidR="00087A27" w:rsidRPr="002874CA" w:rsidRDefault="00087A27" w:rsidP="002874CA">
      <w:pPr>
        <w:spacing w:after="220"/>
        <w:ind w:left="1260"/>
        <w:rPr>
          <w:rFonts w:ascii="Arial" w:hAnsi="Arial" w:cs="Arial"/>
          <w:b/>
          <w:color w:val="0072BF" w:themeColor="accent1" w:themeShade="BF"/>
        </w:rPr>
      </w:pPr>
    </w:p>
    <w:p w14:paraId="18732B95" w14:textId="77777777" w:rsidR="00477B28" w:rsidRPr="004E69D2" w:rsidRDefault="00477B28" w:rsidP="004E69D2">
      <w:pPr>
        <w:pStyle w:val="Heading5"/>
        <w:ind w:left="720"/>
      </w:pPr>
      <w:r w:rsidRPr="004E69D2">
        <w:t>Reporting Requirements</w:t>
      </w:r>
    </w:p>
    <w:p w14:paraId="482B781A" w14:textId="5E1B0C76" w:rsidR="002874CA" w:rsidRPr="002874CA" w:rsidRDefault="002874CA" w:rsidP="002874CA">
      <w:pPr>
        <w:spacing w:after="220"/>
        <w:ind w:left="720"/>
        <w:rPr>
          <w:rFonts w:ascii="Arial" w:hAnsi="Arial" w:cs="Arial"/>
          <w:i/>
        </w:rPr>
      </w:pPr>
      <w:r w:rsidRPr="002874CA">
        <w:rPr>
          <w:rFonts w:ascii="Arial" w:hAnsi="Arial" w:cs="Arial"/>
          <w:i/>
        </w:rPr>
        <w:t xml:space="preserve">[Note whether the process was compliant / not compliant in terms of the self-study minimally addressing the requirements outlined in Section </w:t>
      </w:r>
      <w:r w:rsidR="006E7BA7">
        <w:rPr>
          <w:rFonts w:ascii="Arial" w:hAnsi="Arial" w:cs="Arial"/>
          <w:i/>
        </w:rPr>
        <w:t>5.4.1</w:t>
      </w:r>
      <w:r w:rsidRPr="002874CA">
        <w:rPr>
          <w:rFonts w:ascii="Arial" w:hAnsi="Arial" w:cs="Arial"/>
          <w:i/>
        </w:rPr>
        <w:t xml:space="preserve"> of the 20</w:t>
      </w:r>
      <w:r w:rsidR="006E7BA7">
        <w:rPr>
          <w:rFonts w:ascii="Arial" w:hAnsi="Arial" w:cs="Arial"/>
          <w:i/>
        </w:rPr>
        <w:t>21</w:t>
      </w:r>
      <w:r w:rsidRPr="002874CA">
        <w:rPr>
          <w:rFonts w:ascii="Arial" w:hAnsi="Arial" w:cs="Arial"/>
          <w:i/>
        </w:rPr>
        <w:t xml:space="preserve"> QAF. If not compliant, add applicable comments based on desk audit report section </w:t>
      </w:r>
      <w:r w:rsidR="003A010B">
        <w:rPr>
          <w:rFonts w:ascii="Arial" w:hAnsi="Arial" w:cs="Arial"/>
          <w:i/>
        </w:rPr>
        <w:t>6</w:t>
      </w:r>
      <w:r w:rsidRPr="002874CA">
        <w:rPr>
          <w:rFonts w:ascii="Arial" w:hAnsi="Arial" w:cs="Arial"/>
          <w:i/>
        </w:rPr>
        <w:t>.</w:t>
      </w:r>
      <w:r w:rsidR="003A010B">
        <w:rPr>
          <w:rFonts w:ascii="Arial" w:hAnsi="Arial" w:cs="Arial"/>
          <w:i/>
        </w:rPr>
        <w:t>a. and</w:t>
      </w:r>
      <w:r w:rsidRPr="002874CA">
        <w:rPr>
          <w:rFonts w:ascii="Arial" w:hAnsi="Arial" w:cs="Arial"/>
          <w:i/>
        </w:rPr>
        <w:t xml:space="preserve"> b. and any applicable site visit notes. Also note whether a recommendation, suggestion, commendation or best practice is needed and if so, give an indication of what</w:t>
      </w:r>
      <w:r w:rsidR="005C7C8C">
        <w:rPr>
          <w:rFonts w:ascii="Arial" w:hAnsi="Arial" w:cs="Arial"/>
          <w:i/>
        </w:rPr>
        <w:t xml:space="preserve"> </w:t>
      </w:r>
      <w:r w:rsidRPr="002874CA">
        <w:rPr>
          <w:rFonts w:ascii="Arial" w:hAnsi="Arial" w:cs="Arial"/>
          <w:i/>
        </w:rPr>
        <w:t>this should be.]</w:t>
      </w:r>
    </w:p>
    <w:p w14:paraId="46AB4CDF" w14:textId="77777777" w:rsidR="002874CA" w:rsidRPr="002874CA" w:rsidRDefault="002874CA" w:rsidP="002874CA">
      <w:pPr>
        <w:spacing w:after="220"/>
        <w:ind w:left="720"/>
        <w:rPr>
          <w:rFonts w:ascii="Arial" w:hAnsi="Arial" w:cs="Arial"/>
          <w:b/>
          <w:color w:val="0072BF" w:themeColor="accent1" w:themeShade="BF"/>
        </w:rPr>
      </w:pPr>
    </w:p>
    <w:p w14:paraId="6DD2ACC6" w14:textId="77777777" w:rsidR="00CC0F4D" w:rsidRPr="004E69D2" w:rsidRDefault="00CC0F4D" w:rsidP="004E69D2">
      <w:pPr>
        <w:pStyle w:val="Heading5"/>
        <w:ind w:left="720"/>
      </w:pPr>
      <w:r w:rsidRPr="004E69D2">
        <w:t>Use of accreditation and other external reviews in the Institutional Quality Assurance Process:</w:t>
      </w:r>
    </w:p>
    <w:p w14:paraId="463B28F5" w14:textId="0D4335BC" w:rsidR="00CC0F4D" w:rsidRPr="006C6314" w:rsidRDefault="00CC0F4D" w:rsidP="00CC0F4D">
      <w:pPr>
        <w:spacing w:after="220"/>
        <w:ind w:left="720"/>
        <w:rPr>
          <w:rFonts w:ascii="Arial" w:hAnsi="Arial" w:cs="Arial"/>
          <w:i/>
        </w:rPr>
      </w:pPr>
      <w:r w:rsidRPr="006C6314">
        <w:rPr>
          <w:rFonts w:ascii="Arial" w:hAnsi="Arial" w:cs="Arial"/>
          <w:i/>
        </w:rPr>
        <w:t>[Note whether the process was compliant / not compliant</w:t>
      </w:r>
      <w:r>
        <w:rPr>
          <w:rFonts w:ascii="Arial" w:hAnsi="Arial" w:cs="Arial"/>
          <w:i/>
        </w:rPr>
        <w:t xml:space="preserve"> in dealing with the QAF requirements (i.e., not just those for accreditation)</w:t>
      </w:r>
      <w:r w:rsidRPr="006C6314">
        <w:rPr>
          <w:rFonts w:ascii="Arial" w:hAnsi="Arial" w:cs="Arial"/>
          <w:i/>
        </w:rPr>
        <w:t>. If not compliant, add applicable comments based on desk audit report</w:t>
      </w:r>
      <w:r>
        <w:rPr>
          <w:rFonts w:ascii="Arial" w:hAnsi="Arial" w:cs="Arial"/>
          <w:i/>
        </w:rPr>
        <w:t xml:space="preserve"> section B.</w:t>
      </w:r>
      <w:r w:rsidRPr="006C6314">
        <w:rPr>
          <w:rFonts w:ascii="Arial" w:hAnsi="Arial" w:cs="Arial"/>
          <w:i/>
        </w:rPr>
        <w:t xml:space="preserve"> and </w:t>
      </w:r>
      <w:r>
        <w:rPr>
          <w:rFonts w:ascii="Arial" w:hAnsi="Arial" w:cs="Arial"/>
          <w:i/>
        </w:rPr>
        <w:t xml:space="preserve">any applicable </w:t>
      </w:r>
      <w:r w:rsidRPr="006C6314">
        <w:rPr>
          <w:rFonts w:ascii="Arial" w:hAnsi="Arial" w:cs="Arial"/>
          <w:i/>
        </w:rPr>
        <w:t>site visit notes.</w:t>
      </w:r>
      <w:r>
        <w:rPr>
          <w:rFonts w:ascii="Arial" w:hAnsi="Arial" w:cs="Arial"/>
          <w:i/>
        </w:rPr>
        <w:t xml:space="preserve"> Also note whether a recommendation, suggestion, commendation or best practice is needed and if so, give an indication of what this should be.</w:t>
      </w:r>
      <w:r w:rsidRPr="006C6314">
        <w:rPr>
          <w:rFonts w:ascii="Arial" w:hAnsi="Arial" w:cs="Arial"/>
          <w:i/>
        </w:rPr>
        <w:t xml:space="preserve">] </w:t>
      </w:r>
    </w:p>
    <w:p w14:paraId="669F10C0" w14:textId="77777777" w:rsidR="00CC0F4D" w:rsidRPr="003A010B" w:rsidRDefault="00CC0F4D" w:rsidP="00CC0F4D">
      <w:pPr>
        <w:spacing w:after="220"/>
        <w:ind w:left="720"/>
        <w:rPr>
          <w:rFonts w:ascii="Arial" w:hAnsi="Arial" w:cs="Arial"/>
          <w:color w:val="0072BF" w:themeColor="accent1" w:themeShade="BF"/>
        </w:rPr>
      </w:pPr>
    </w:p>
    <w:p w14:paraId="37BD5AB3" w14:textId="77777777" w:rsidR="001D21F0" w:rsidRDefault="001D21F0">
      <w:pPr>
        <w:spacing w:after="240" w:line="240" w:lineRule="auto"/>
        <w:sectPr w:rsidR="001D21F0">
          <w:headerReference w:type="default" r:id="rId8"/>
          <w:footerReference w:type="default" r:id="rId9"/>
          <w:pgSz w:w="12240" w:h="15840"/>
          <w:pgMar w:top="1440" w:right="1440" w:bottom="1440" w:left="1440" w:header="720" w:footer="720" w:gutter="0"/>
          <w:cols w:space="720"/>
          <w:docGrid w:linePitch="360"/>
        </w:sectPr>
      </w:pPr>
    </w:p>
    <w:p w14:paraId="01650FD8" w14:textId="77777777" w:rsidR="002D3600" w:rsidRDefault="002D3600" w:rsidP="002D3600">
      <w:pPr>
        <w:pStyle w:val="Heading1-pagebreak"/>
      </w:pPr>
      <w:bookmarkStart w:id="4" w:name="_Toc65486276"/>
      <w:bookmarkStart w:id="5" w:name="_Toc88509237"/>
      <w:bookmarkStart w:id="6" w:name="_Toc98513199"/>
      <w:bookmarkStart w:id="7" w:name="_Toc258335413"/>
      <w:r>
        <w:lastRenderedPageBreak/>
        <w:t>5</w:t>
      </w:r>
      <w:r>
        <w:tab/>
      </w:r>
      <w:bookmarkStart w:id="8" w:name="ProtocolCPR"/>
      <w:bookmarkEnd w:id="8"/>
      <w:r w:rsidRPr="00F63AC6">
        <w:t>Protocol for Cyclical Program Reviews</w:t>
      </w:r>
      <w:bookmarkEnd w:id="4"/>
      <w:bookmarkEnd w:id="5"/>
      <w:bookmarkEnd w:id="6"/>
    </w:p>
    <w:p w14:paraId="1D1D8984" w14:textId="77777777" w:rsidR="002D3600" w:rsidRPr="003E0B4B" w:rsidRDefault="002D3600" w:rsidP="002D3600">
      <w:pPr>
        <w:pStyle w:val="Body"/>
      </w:pPr>
      <w:r w:rsidRPr="003E0B4B">
        <w:rPr>
          <w:lang w:val="en-US"/>
        </w:rPr>
        <w:t>The Cyclical Program Review of existing programs is the key quality assurance process aimed at assessing the quality of existing academic programs, identifying ongoing improvements to programs, and ensuring continuing relevance of the program to stakeholders. The self-study and external assessment provide internal and external perspectives on the institutional goals, program’s objectives, program-level learning outcomes, and graduate outcomes. Degree Level Expectations, combined with the expert judgment of external disciplinary scholars, provide the benchmarks for assessing a program’s standards and quality. The internal review of the externals’ reports by the university identifies changes needed to maintain the quality of the academic programs through the Final Assessment Report, which includes an Implementation Plan. The required program changes identified in the Implementation Plan become the basis of a continuous improvement process through monitoring of key performance indicators. Primary responsibility to execute the Implementation Plan lies with the leadership of the program (at the program or departmental level) with identified timelines and communication among stakeholders, including students and the public.</w:t>
      </w:r>
    </w:p>
    <w:p w14:paraId="113161B4" w14:textId="77777777" w:rsidR="002D3600" w:rsidRPr="003E0B4B" w:rsidRDefault="002D3600" w:rsidP="002D3600">
      <w:pPr>
        <w:pStyle w:val="Heading2-exclTOC"/>
        <w:rPr>
          <w:lang w:val="en-US"/>
        </w:rPr>
      </w:pPr>
      <w:bookmarkStart w:id="9" w:name="_Toc88494942"/>
      <w:r w:rsidRPr="003E0B4B">
        <w:t>Objectives</w:t>
      </w:r>
      <w:bookmarkEnd w:id="9"/>
    </w:p>
    <w:p w14:paraId="2E7DDFB7" w14:textId="77777777" w:rsidR="002D3600" w:rsidRPr="003E0B4B" w:rsidRDefault="002D3600" w:rsidP="002D3600">
      <w:pPr>
        <w:pStyle w:val="Body"/>
        <w:rPr>
          <w:lang w:val="en-US"/>
        </w:rPr>
      </w:pPr>
      <w:r w:rsidRPr="003E0B4B">
        <w:t>One fundamental element of accountability is continuous improvement, which signals that quality assurance is never static. Continuous improvement is the ultimate goal of the ongoing and fluid work of universities as they create living documents that meet evolving standards and measures of quality in their programs. The Protocol for Cyclical Program Reviews is designed to ensure that the educational experiences students have are engaging and rigorous, but also that the programs through which those experiences are provided are routinely monitored and, if necessary, revised. Continuous improvement of those facets of education that most directly impact the academic experiences of Ontario students is fundamental to quality assurance and, thus, continuous improvement factors significantly in the Protocol for Cyclical Program Reviews.</w:t>
      </w:r>
    </w:p>
    <w:p w14:paraId="2DFC3CD8" w14:textId="77777777" w:rsidR="002D3600" w:rsidRPr="003E0B4B" w:rsidRDefault="002D3600" w:rsidP="002D3600">
      <w:pPr>
        <w:pStyle w:val="Heading2-exclTOC"/>
        <w:rPr>
          <w:lang w:val="en-US"/>
        </w:rPr>
      </w:pPr>
      <w:bookmarkStart w:id="10" w:name="_Toc88494943"/>
      <w:r w:rsidRPr="003E0B4B">
        <w:rPr>
          <w:lang w:val="en-US"/>
        </w:rPr>
        <w:t>Scope</w:t>
      </w:r>
      <w:bookmarkEnd w:id="10"/>
    </w:p>
    <w:p w14:paraId="40B705FE" w14:textId="77777777" w:rsidR="002D3600" w:rsidRPr="003E0B4B" w:rsidRDefault="002D3600" w:rsidP="002D3600">
      <w:pPr>
        <w:pStyle w:val="Body"/>
        <w:rPr>
          <w:lang w:val="en-US"/>
        </w:rPr>
      </w:pPr>
      <w:r w:rsidRPr="003E0B4B">
        <w:rPr>
          <w:lang w:val="en-US"/>
        </w:rPr>
        <w:t>While it is clear in a New Program Proposal what the term “program” refers to, it is often less clear what defines a program when considering the unit of review, or “scope”, of a Cyclical Program Review, or a subsequent audit of a program’s cyclical review. In a Cyclical Program Review, for example, the self-study often refers to multiple degree options, undergraduate and graduate, and various streams or concentrations within the program. This may result in confusion as to what exactly the evaluation criteria are being applied to, and to what the external reviewers’ recommendations are directed. Additionally, the Cyclical Program Review’s Implementation Plan requires clarity as to the precise scope of the unit of review, if for no other reason than that of assigning responsibility for implementation of its various recommendations.  And finally, the audit process requires clarity as to what constitutes a program in order to determine the scope of its assessment. For these reasons, institutions must define the scope of the program to be reviewed in the Cyclical Program Review process.</w:t>
      </w:r>
    </w:p>
    <w:p w14:paraId="486DC976" w14:textId="77777777" w:rsidR="002D3600" w:rsidRPr="003E0B4B" w:rsidRDefault="002D3600" w:rsidP="002D3600">
      <w:pPr>
        <w:pStyle w:val="Body"/>
        <w:rPr>
          <w:lang w:val="en-US"/>
        </w:rPr>
      </w:pPr>
      <w:r w:rsidRPr="003E0B4B">
        <w:rPr>
          <w:lang w:val="en-US"/>
        </w:rPr>
        <w:t>Programs which have been closed or for which admission has been suspended are out of scope for a Cyclical Program Review.</w:t>
      </w:r>
    </w:p>
    <w:p w14:paraId="36D6907B" w14:textId="77777777" w:rsidR="002D3600" w:rsidRPr="003E0B4B" w:rsidRDefault="002D3600" w:rsidP="002D3600">
      <w:pPr>
        <w:pStyle w:val="Body"/>
        <w:rPr>
          <w:lang w:val="en-US"/>
        </w:rPr>
      </w:pPr>
      <w:r w:rsidRPr="003E0B4B">
        <w:rPr>
          <w:lang w:val="en-US"/>
        </w:rPr>
        <w:t xml:space="preserve">In reviewing a joint program and other inter-institutional programs, the IQAPs of the participating universities granting the degree should be considered. See </w:t>
      </w:r>
      <w:hyperlink r:id="rId10" w:history="1">
        <w:r w:rsidRPr="00C731A4">
          <w:rPr>
            <w:rStyle w:val="Hyperlink"/>
            <w:lang w:val="en-US"/>
          </w:rPr>
          <w:t>Guidance</w:t>
        </w:r>
      </w:hyperlink>
      <w:r w:rsidRPr="003E0B4B">
        <w:rPr>
          <w:lang w:val="en-US"/>
        </w:rPr>
        <w:t xml:space="preserve"> for important aspects to consider in conducting joint program reviews.</w:t>
      </w:r>
    </w:p>
    <w:p w14:paraId="607185A4" w14:textId="77777777" w:rsidR="002D3600" w:rsidRDefault="002D3600" w:rsidP="002D3600">
      <w:pPr>
        <w:pStyle w:val="Heading2-exclTOC"/>
      </w:pPr>
      <w:bookmarkStart w:id="11" w:name="_Toc88494944"/>
      <w:r w:rsidRPr="00FB6C80">
        <w:lastRenderedPageBreak/>
        <w:t>Process</w:t>
      </w:r>
      <w:bookmarkEnd w:id="11"/>
    </w:p>
    <w:p w14:paraId="7E20BEF0" w14:textId="77777777" w:rsidR="002D3600" w:rsidRPr="003E0B4B" w:rsidRDefault="002D3600" w:rsidP="002D3600">
      <w:pPr>
        <w:pStyle w:val="Body"/>
        <w:rPr>
          <w:lang w:val="en-US"/>
        </w:rPr>
      </w:pPr>
      <w:r w:rsidRPr="003E0B4B">
        <w:rPr>
          <w:lang w:val="en-US"/>
        </w:rPr>
        <w:t>The institution is responsible for ensuring that programs are evaluated on a cycle not to exceed eight years. The process will assess the quality of existing academic programs, identifying ongoing improvements to programs, and ensuring continuing relevance of the program to stakeholders. The self-study and external assessment provide internal and external perspectives on the institutional goals, program’s objectives, program-level learning outcomes, and graduate outcomes.</w:t>
      </w:r>
    </w:p>
    <w:p w14:paraId="4949FFA3" w14:textId="77777777" w:rsidR="002D3600" w:rsidRPr="003E0B4B" w:rsidRDefault="002D3600" w:rsidP="002D3600">
      <w:pPr>
        <w:pStyle w:val="Body"/>
        <w:rPr>
          <w:lang w:val="en-US"/>
        </w:rPr>
      </w:pPr>
      <w:r w:rsidRPr="003E0B4B">
        <w:rPr>
          <w:lang w:val="en-US"/>
        </w:rPr>
        <w:t xml:space="preserve">The Quality Council’s Protocol for the conduct of Cyclical Program Reviews has five principal components (for further detail on a) through e), see </w:t>
      </w:r>
      <w:hyperlink w:anchor="SelfstudyInternalProgramPerspective" w:history="1">
        <w:r w:rsidRPr="003E0B4B">
          <w:rPr>
            <w:rStyle w:val="Hyperlink"/>
            <w:lang w:val="en-US"/>
          </w:rPr>
          <w:t>Sections 5.1.3 – 5.4.2</w:t>
        </w:r>
      </w:hyperlink>
      <w:r w:rsidRPr="003E0B4B">
        <w:rPr>
          <w:lang w:val="en-US"/>
        </w:rPr>
        <w:t>, inclusive):</w:t>
      </w:r>
    </w:p>
    <w:p w14:paraId="36E0F332" w14:textId="77777777" w:rsidR="002D3600" w:rsidRPr="003E0B4B" w:rsidRDefault="002D3600" w:rsidP="00203534">
      <w:pPr>
        <w:pStyle w:val="Listletters"/>
        <w:numPr>
          <w:ilvl w:val="0"/>
          <w:numId w:val="14"/>
        </w:numPr>
      </w:pPr>
      <w:r w:rsidRPr="003E0B4B">
        <w:t>Self-study;</w:t>
      </w:r>
    </w:p>
    <w:p w14:paraId="6EDE9CFA" w14:textId="77777777" w:rsidR="002D3600" w:rsidRPr="003E0B4B" w:rsidRDefault="002D3600" w:rsidP="002D3600">
      <w:pPr>
        <w:pStyle w:val="Listletters"/>
      </w:pPr>
      <w:r w:rsidRPr="003E0B4B">
        <w:t>External evaluation (peer review) with report and recommendations on program quality improvement;</w:t>
      </w:r>
    </w:p>
    <w:p w14:paraId="6D391E86" w14:textId="77777777" w:rsidR="002D3600" w:rsidRPr="003E0B4B" w:rsidRDefault="002D3600" w:rsidP="002D3600">
      <w:pPr>
        <w:pStyle w:val="Listletters"/>
      </w:pPr>
      <w:r w:rsidRPr="003E0B4B">
        <w:t>Institutional evaluation of the self-study and the External Review Report resulting in recommendations for program quality improvement;</w:t>
      </w:r>
    </w:p>
    <w:p w14:paraId="4354F6B0" w14:textId="77777777" w:rsidR="002D3600" w:rsidRPr="003E0B4B" w:rsidRDefault="002D3600" w:rsidP="002D3600">
      <w:pPr>
        <w:pStyle w:val="Listletters"/>
      </w:pPr>
      <w:r w:rsidRPr="003E0B4B">
        <w:t>Preparation and adoption of plans to implement the recommendations and to monitor their implementation; and</w:t>
      </w:r>
    </w:p>
    <w:p w14:paraId="2D888918" w14:textId="77777777" w:rsidR="002D3600" w:rsidRPr="003E0B4B" w:rsidRDefault="002D3600" w:rsidP="002D3600">
      <w:pPr>
        <w:pStyle w:val="Listletters"/>
      </w:pPr>
      <w:r w:rsidRPr="003E0B4B">
        <w:t>Follow-up reporting on the principal findings of the review and the implementation of the recommendations.</w:t>
      </w:r>
    </w:p>
    <w:p w14:paraId="6A00184F" w14:textId="77777777" w:rsidR="002D3600" w:rsidRPr="003E0B4B" w:rsidRDefault="002D3600" w:rsidP="002D3600">
      <w:pPr>
        <w:pStyle w:val="Body"/>
        <w:rPr>
          <w:lang w:val="en-US"/>
        </w:rPr>
      </w:pPr>
      <w:r w:rsidRPr="003E0B4B">
        <w:rPr>
          <w:lang w:val="en-US"/>
        </w:rPr>
        <w:t>Below are the minimum process requirements for the cyclical review of undergraduate and graduate programs. To meet their own needs and in recognition of the diversity in institutional strategies, institutions may include their own quality assurance requirements in addition to those set out below, including for example, consideration of equity, diversity and inclusion, special missions and mandates, and student populations that are being encouraged by governments, institutions, and others.</w:t>
      </w:r>
    </w:p>
    <w:p w14:paraId="20B1908D" w14:textId="77777777" w:rsidR="002D3600" w:rsidRPr="003E0B4B" w:rsidRDefault="002D3600" w:rsidP="002D3600">
      <w:pPr>
        <w:pStyle w:val="Body"/>
        <w:rPr>
          <w:lang w:val="en-US"/>
        </w:rPr>
      </w:pPr>
      <w:r w:rsidRPr="003E0B4B">
        <w:rPr>
          <w:lang w:val="en-US"/>
        </w:rPr>
        <w:t xml:space="preserve">These requirements apply whether or not those programs are supported by government funds (see </w:t>
      </w:r>
      <w:hyperlink w:anchor="FlowChart3CPR" w:history="1">
        <w:r w:rsidRPr="003E0B4B">
          <w:rPr>
            <w:rStyle w:val="Hyperlink"/>
            <w:lang w:val="en-US"/>
          </w:rPr>
          <w:t>Flow Chart 3: Overview of the Protocol for Cyclical Program Reviews</w:t>
        </w:r>
      </w:hyperlink>
      <w:r w:rsidRPr="003E0B4B">
        <w:rPr>
          <w:lang w:val="en-US"/>
        </w:rPr>
        <w:t>).</w:t>
      </w:r>
    </w:p>
    <w:p w14:paraId="570342BE" w14:textId="77777777" w:rsidR="002D3600" w:rsidRPr="003E0B4B" w:rsidRDefault="002D3600" w:rsidP="002D3600">
      <w:pPr>
        <w:pStyle w:val="Body"/>
        <w:rPr>
          <w:lang w:val="en-US"/>
        </w:rPr>
      </w:pPr>
      <w:r w:rsidRPr="003E0B4B">
        <w:rPr>
          <w:lang w:val="en-US"/>
        </w:rPr>
        <w:t xml:space="preserve">(See </w:t>
      </w:r>
      <w:hyperlink w:anchor="Principles" w:history="1">
        <w:r w:rsidRPr="003E0B4B">
          <w:rPr>
            <w:rStyle w:val="Hyperlink"/>
            <w:lang w:val="en-US"/>
          </w:rPr>
          <w:t>Principles</w:t>
        </w:r>
      </w:hyperlink>
      <w:r w:rsidRPr="003E0B4B">
        <w:rPr>
          <w:lang w:val="en-US"/>
        </w:rPr>
        <w:t xml:space="preserve"> 1, 7 - 15)</w:t>
      </w:r>
    </w:p>
    <w:p w14:paraId="332464D7" w14:textId="77777777" w:rsidR="002D3600" w:rsidRPr="003E0B4B" w:rsidRDefault="002D3600" w:rsidP="002D3600">
      <w:pPr>
        <w:pStyle w:val="Body"/>
        <w:rPr>
          <w:lang w:val="en-US"/>
        </w:rPr>
      </w:pPr>
      <w:r w:rsidRPr="003E0B4B">
        <w:rPr>
          <w:lang w:val="en-US"/>
        </w:rPr>
        <w:t>Annually, the institution will submit copies of the Final Assessment Reports, together with the associated Implementation Plans, or an omnibus report on Cyclical Program Review activity, to the Quality Council for review (see</w:t>
      </w:r>
      <w:r>
        <w:rPr>
          <w:lang w:val="en-US"/>
        </w:rPr>
        <w:t xml:space="preserve"> </w:t>
      </w:r>
      <w:hyperlink w:anchor="Section5x4x1InternalReporting" w:history="1">
        <w:r>
          <w:rPr>
            <w:rStyle w:val="Hyperlink"/>
            <w:lang w:val="en-US"/>
          </w:rPr>
          <w:t>Section 5.4.1 d), including footnote,</w:t>
        </w:r>
      </w:hyperlink>
      <w:r>
        <w:rPr>
          <w:lang w:val="en-US"/>
        </w:rPr>
        <w:t xml:space="preserve"> and</w:t>
      </w:r>
      <w:r w:rsidRPr="003E0B4B">
        <w:rPr>
          <w:lang w:val="en-US"/>
        </w:rPr>
        <w:t xml:space="preserve"> </w:t>
      </w:r>
      <w:hyperlink w:anchor="Section5x4x2ExternalReporting" w:history="1">
        <w:r w:rsidRPr="003E0B4B">
          <w:rPr>
            <w:rStyle w:val="Hyperlink"/>
            <w:lang w:val="en-US"/>
          </w:rPr>
          <w:t>Section 5.4.2</w:t>
        </w:r>
      </w:hyperlink>
      <w:r w:rsidRPr="003E0B4B">
        <w:rPr>
          <w:lang w:val="en-US"/>
        </w:rPr>
        <w:t>). An Executive Summary of the process along with the Implementation Plan and associated monitoring reports should be published on the institution’s website for each completed cyclical review.</w:t>
      </w:r>
    </w:p>
    <w:p w14:paraId="163D6293" w14:textId="77777777" w:rsidR="002D3600" w:rsidRPr="003E0B4B" w:rsidRDefault="002D3600" w:rsidP="002D3600">
      <w:pPr>
        <w:pStyle w:val="Heading2-exclTOC"/>
        <w:rPr>
          <w:lang w:val="en-US"/>
        </w:rPr>
      </w:pPr>
      <w:bookmarkStart w:id="12" w:name="_Toc88494945"/>
      <w:r w:rsidRPr="003E0B4B">
        <w:rPr>
          <w:lang w:val="en-US"/>
        </w:rPr>
        <w:t>Outcomes</w:t>
      </w:r>
      <w:bookmarkEnd w:id="12"/>
    </w:p>
    <w:p w14:paraId="4BFB6C68" w14:textId="77777777" w:rsidR="002D3600" w:rsidRPr="003E0B4B" w:rsidRDefault="002D3600" w:rsidP="002D3600">
      <w:pPr>
        <w:pStyle w:val="Body"/>
        <w:rPr>
          <w:lang w:val="en-US"/>
        </w:rPr>
      </w:pPr>
      <w:r w:rsidRPr="003E0B4B">
        <w:rPr>
          <w:lang w:val="en-US"/>
        </w:rPr>
        <w:t>The key outcome from a Cyclical Program Review is the Final Assessment Report and associated Implementation Plan. The internal review of reports by the university identifies changes needed to maintain the quality of the academic programs through the Final Assessment Report, which includes an Implementation Plan. The required program changes identified in the Implementation Plan become the basis of a continuous improvement process through monitoring of key performance indicators. Primary responsibility to execute the Implementation Plan lies with the leadership of the program (at the program or departmental level) with identified timelines and communication among stakeholders, including students and the public.</w:t>
      </w:r>
    </w:p>
    <w:tbl>
      <w:tblPr>
        <w:tblStyle w:val="TableGrid"/>
        <w:tblpPr w:leftFromText="180" w:rightFromText="180" w:horzAnchor="margin" w:tblpY="-22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low Chart 3"/>
        <w:tblDescription w:val="Overview of the Protocol for Cyclical Program Reviews"/>
      </w:tblPr>
      <w:tblGrid>
        <w:gridCol w:w="3071"/>
        <w:gridCol w:w="1536"/>
        <w:gridCol w:w="1535"/>
        <w:gridCol w:w="3072"/>
      </w:tblGrid>
      <w:tr w:rsidR="002D3600" w:rsidRPr="0023280E" w14:paraId="07113035" w14:textId="77777777" w:rsidTr="00996BA1">
        <w:trPr>
          <w:cantSplit/>
          <w:trHeight w:val="415"/>
        </w:trPr>
        <w:tc>
          <w:tcPr>
            <w:tcW w:w="9214" w:type="dxa"/>
            <w:gridSpan w:val="4"/>
            <w:shd w:val="clear" w:color="auto" w:fill="FFFFFF" w:themeFill="background1"/>
          </w:tcPr>
          <w:p w14:paraId="077AA4CE" w14:textId="77777777" w:rsidR="002D3600" w:rsidRPr="00D35F8F" w:rsidRDefault="002D3600" w:rsidP="00996BA1">
            <w:pPr>
              <w:pStyle w:val="Flowchart-Title"/>
              <w:framePr w:hSpace="0" w:wrap="auto" w:vAnchor="margin" w:hAnchor="text" w:yAlign="inline"/>
              <w:rPr>
                <w:b w:val="0"/>
              </w:rPr>
            </w:pPr>
            <w:bookmarkStart w:id="13" w:name="FlowChart3CPR"/>
            <w:bookmarkStart w:id="14" w:name="_Toc88509238"/>
            <w:bookmarkEnd w:id="13"/>
            <w:r w:rsidRPr="00D35F8F">
              <w:lastRenderedPageBreak/>
              <w:t>Flow Chart 3: Overview</w:t>
            </w:r>
            <w:r w:rsidRPr="00D35F8F">
              <w:rPr>
                <w:lang w:val="en-US"/>
              </w:rPr>
              <w:t xml:space="preserve"> of the Protocol for Cyclical Program Reviews</w:t>
            </w:r>
            <w:bookmarkEnd w:id="14"/>
          </w:p>
        </w:tc>
      </w:tr>
      <w:tr w:rsidR="002D3600" w:rsidRPr="0023280E" w14:paraId="0D934B42" w14:textId="77777777" w:rsidTr="00996BA1">
        <w:trPr>
          <w:cantSplit/>
          <w:trHeight w:val="589"/>
        </w:trPr>
        <w:tc>
          <w:tcPr>
            <w:tcW w:w="9214" w:type="dxa"/>
            <w:gridSpan w:val="4"/>
            <w:shd w:val="clear" w:color="auto" w:fill="920030"/>
          </w:tcPr>
          <w:p w14:paraId="39730BAA" w14:textId="77777777" w:rsidR="002D3600" w:rsidRPr="00871E4A" w:rsidRDefault="002D3600" w:rsidP="00996BA1">
            <w:pPr>
              <w:pStyle w:val="Flowchart-HeadingWhite"/>
            </w:pPr>
            <w:r w:rsidRPr="001C5A19">
              <w:t>Initial Institutional Process</w:t>
            </w:r>
          </w:p>
        </w:tc>
      </w:tr>
      <w:tr w:rsidR="002D3600" w14:paraId="2F79ACB8" w14:textId="77777777" w:rsidTr="00996BA1">
        <w:trPr>
          <w:cantSplit/>
          <w:trHeight w:val="878"/>
        </w:trPr>
        <w:tc>
          <w:tcPr>
            <w:tcW w:w="4607" w:type="dxa"/>
            <w:gridSpan w:val="2"/>
            <w:tcBorders>
              <w:right w:val="single" w:sz="4" w:space="0" w:color="auto"/>
            </w:tcBorders>
            <w:shd w:val="clear" w:color="auto" w:fill="F2F2F2"/>
          </w:tcPr>
          <w:p w14:paraId="66BAD5ED" w14:textId="77777777" w:rsidR="002D3600" w:rsidRDefault="002D3600" w:rsidP="00996BA1">
            <w:pPr>
              <w:pStyle w:val="Flowchart-Body"/>
              <w:framePr w:hSpace="0" w:wrap="auto" w:vAnchor="margin" w:hAnchor="text" w:yAlign="inline"/>
            </w:pPr>
            <w:r>
              <mc:AlternateContent>
                <mc:Choice Requires="wps">
                  <w:drawing>
                    <wp:anchor distT="0" distB="0" distL="114300" distR="114300" simplePos="0" relativeHeight="251660288" behindDoc="0" locked="0" layoutInCell="1" allowOverlap="1" wp14:anchorId="0228D4B8" wp14:editId="73754333">
                      <wp:simplePos x="0" y="0"/>
                      <wp:positionH relativeFrom="column">
                        <wp:posOffset>2674815</wp:posOffset>
                      </wp:positionH>
                      <wp:positionV relativeFrom="paragraph">
                        <wp:posOffset>128905</wp:posOffset>
                      </wp:positionV>
                      <wp:extent cx="116065" cy="142336"/>
                      <wp:effectExtent l="0" t="0" r="0" b="0"/>
                      <wp:wrapNone/>
                      <wp:docPr id="27" name="Right Arrow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6065" cy="142336"/>
                              </a:xfrm>
                              <a:prstGeom prst="rightArrow">
                                <a:avLst/>
                              </a:prstGeom>
                              <a:solidFill>
                                <a:srgbClr val="9200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1818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7" o:spid="_x0000_s1026" type="#_x0000_t13" style="position:absolute;margin-left:210.6pt;margin-top:10.15pt;width:9.1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" adj="10800" fillcolor="#920030" stroked="f" strokeweight="2pt"/>
                  </w:pict>
                </mc:Fallback>
              </mc:AlternateContent>
            </w:r>
            <w:r>
              <w:t xml:space="preserve"> </w:t>
            </w:r>
            <w:r w:rsidRPr="001C5A19">
              <w:t xml:space="preserve">Inititiation of </w:t>
            </w:r>
            <w:r>
              <w:t>re</w:t>
            </w:r>
            <w:r w:rsidRPr="001C5A19">
              <w:t>view</w:t>
            </w:r>
          </w:p>
        </w:tc>
        <w:tc>
          <w:tcPr>
            <w:tcW w:w="4607" w:type="dxa"/>
            <w:gridSpan w:val="2"/>
            <w:tcBorders>
              <w:left w:val="single" w:sz="4" w:space="0" w:color="auto"/>
            </w:tcBorders>
            <w:shd w:val="clear" w:color="auto" w:fill="F2F2F2"/>
          </w:tcPr>
          <w:p w14:paraId="28ADD2B8" w14:textId="77777777" w:rsidR="002D3600" w:rsidRDefault="002D3600" w:rsidP="00996BA1">
            <w:pPr>
              <w:pStyle w:val="Flowchart-Body"/>
              <w:framePr w:hSpace="0" w:wrap="auto" w:vAnchor="margin" w:hAnchor="text" w:yAlign="inline"/>
            </w:pPr>
            <w:r w:rsidRPr="001C5A19">
              <w:t xml:space="preserve">Program self-study </w:t>
            </w:r>
          </w:p>
        </w:tc>
      </w:tr>
      <w:tr w:rsidR="002D3600" w14:paraId="65402BD1" w14:textId="77777777" w:rsidTr="00996BA1">
        <w:trPr>
          <w:cantSplit/>
          <w:trHeight w:val="623"/>
        </w:trPr>
        <w:tc>
          <w:tcPr>
            <w:tcW w:w="9214" w:type="dxa"/>
            <w:gridSpan w:val="4"/>
            <w:shd w:val="clear" w:color="auto" w:fill="FFFFFF" w:themeFill="background1"/>
          </w:tcPr>
          <w:p w14:paraId="69E3DA72" w14:textId="77777777" w:rsidR="002D3600" w:rsidRDefault="002D3600" w:rsidP="00996BA1">
            <w:pPr>
              <w:pStyle w:val="Flowchart-Body"/>
              <w:framePr w:hSpace="0" w:wrap="auto" w:vAnchor="margin" w:hAnchor="text" w:yAlign="inline"/>
            </w:pPr>
            <w:r>
              <w:br/>
            </w:r>
            <w:r w:rsidRPr="00735902">
              <w:drawing>
                <wp:inline distT="0" distB="0" distL="0" distR="0" wp14:anchorId="749FE9BF" wp14:editId="35D73CA6">
                  <wp:extent cx="1866900" cy="190500"/>
                  <wp:effectExtent l="0" t="0" r="0" b="0"/>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pic:nvPicPr>
                        <pic:blipFill>
                          <a:blip r:embed="rId11"/>
                          <a:stretch>
                            <a:fillRect/>
                          </a:stretch>
                        </pic:blipFill>
                        <pic:spPr>
                          <a:xfrm>
                            <a:off x="0" y="0"/>
                            <a:ext cx="1866900" cy="190500"/>
                          </a:xfrm>
                          <a:prstGeom prst="rect">
                            <a:avLst/>
                          </a:prstGeom>
                        </pic:spPr>
                      </pic:pic>
                    </a:graphicData>
                  </a:graphic>
                </wp:inline>
              </w:drawing>
            </w:r>
          </w:p>
        </w:tc>
      </w:tr>
      <w:tr w:rsidR="002D3600" w14:paraId="7F02F87D" w14:textId="77777777" w:rsidTr="00996BA1">
        <w:trPr>
          <w:cantSplit/>
          <w:trHeight w:val="586"/>
        </w:trPr>
        <w:tc>
          <w:tcPr>
            <w:tcW w:w="9214" w:type="dxa"/>
            <w:gridSpan w:val="4"/>
            <w:shd w:val="clear" w:color="auto" w:fill="920030"/>
          </w:tcPr>
          <w:p w14:paraId="69DDDA0C" w14:textId="77777777" w:rsidR="002D3600" w:rsidRPr="00897EBA" w:rsidRDefault="002D3600" w:rsidP="00996BA1">
            <w:pPr>
              <w:pStyle w:val="Flowchart-HeadingWhite"/>
            </w:pPr>
            <w:r w:rsidRPr="001C5A19">
              <w:t>External Evaluation</w:t>
            </w:r>
          </w:p>
        </w:tc>
      </w:tr>
      <w:tr w:rsidR="002D3600" w14:paraId="2DAA33DC" w14:textId="77777777" w:rsidTr="00996BA1">
        <w:trPr>
          <w:cantSplit/>
          <w:trHeight w:val="767"/>
        </w:trPr>
        <w:tc>
          <w:tcPr>
            <w:tcW w:w="4607" w:type="dxa"/>
            <w:gridSpan w:val="2"/>
            <w:tcBorders>
              <w:right w:val="single" w:sz="4" w:space="0" w:color="auto"/>
            </w:tcBorders>
            <w:shd w:val="clear" w:color="auto" w:fill="F2F2F2"/>
          </w:tcPr>
          <w:p w14:paraId="3003D676" w14:textId="77777777" w:rsidR="002D3600" w:rsidRDefault="002D3600" w:rsidP="00996BA1">
            <w:pPr>
              <w:pStyle w:val="Flowchart-Body"/>
              <w:framePr w:hSpace="0" w:wrap="auto" w:vAnchor="margin" w:hAnchor="text" w:yAlign="inline"/>
            </w:pPr>
            <w:r>
              <mc:AlternateContent>
                <mc:Choice Requires="wps">
                  <w:drawing>
                    <wp:anchor distT="0" distB="0" distL="114300" distR="114300" simplePos="0" relativeHeight="251659264" behindDoc="0" locked="0" layoutInCell="1" allowOverlap="1" wp14:anchorId="1D3E7450" wp14:editId="0000E9E6">
                      <wp:simplePos x="0" y="0"/>
                      <wp:positionH relativeFrom="column">
                        <wp:posOffset>2676720</wp:posOffset>
                      </wp:positionH>
                      <wp:positionV relativeFrom="paragraph">
                        <wp:posOffset>177165</wp:posOffset>
                      </wp:positionV>
                      <wp:extent cx="116065" cy="142336"/>
                      <wp:effectExtent l="0" t="0" r="0" b="0"/>
                      <wp:wrapNone/>
                      <wp:docPr id="29" name="Right Arrow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6065" cy="142336"/>
                              </a:xfrm>
                              <a:prstGeom prst="rightArrow">
                                <a:avLst/>
                              </a:prstGeom>
                              <a:solidFill>
                                <a:srgbClr val="9200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2A11F" id="Right Arrow 29" o:spid="_x0000_s1026" type="#_x0000_t13" style="position:absolute;margin-left:210.75pt;margin-top:13.95pt;width:9.1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" adj="10800" fillcolor="#920030" stroked="f" strokeweight="2pt"/>
                  </w:pict>
                </mc:Fallback>
              </mc:AlternateContent>
            </w:r>
            <w:r>
              <w:t xml:space="preserve"> </w:t>
            </w:r>
            <w:r w:rsidRPr="001C5A19">
              <w:t>External review</w:t>
            </w:r>
          </w:p>
        </w:tc>
        <w:tc>
          <w:tcPr>
            <w:tcW w:w="4607" w:type="dxa"/>
            <w:gridSpan w:val="2"/>
            <w:tcBorders>
              <w:left w:val="single" w:sz="4" w:space="0" w:color="auto"/>
            </w:tcBorders>
            <w:shd w:val="clear" w:color="auto" w:fill="F2F2F2"/>
          </w:tcPr>
          <w:p w14:paraId="1E473ADF" w14:textId="77777777" w:rsidR="002D3600" w:rsidRPr="002F4FA8" w:rsidRDefault="002D3600" w:rsidP="00996BA1">
            <w:pPr>
              <w:pStyle w:val="Flowchart-Body"/>
              <w:framePr w:hSpace="0" w:wrap="auto" w:vAnchor="margin" w:hAnchor="text" w:yAlign="inline"/>
              <w:rPr>
                <w:lang w:val="en-US"/>
              </w:rPr>
            </w:pPr>
            <w:r w:rsidRPr="001C5A19">
              <w:rPr>
                <w:lang w:val="en-US"/>
              </w:rPr>
              <w:t>External reviewers' report</w:t>
            </w:r>
          </w:p>
        </w:tc>
      </w:tr>
      <w:tr w:rsidR="002D3600" w14:paraId="56E48519" w14:textId="77777777" w:rsidTr="00996BA1">
        <w:trPr>
          <w:cantSplit/>
          <w:trHeight w:val="374"/>
        </w:trPr>
        <w:tc>
          <w:tcPr>
            <w:tcW w:w="9214" w:type="dxa"/>
            <w:gridSpan w:val="4"/>
            <w:shd w:val="clear" w:color="auto" w:fill="FFFFFF" w:themeFill="background1"/>
          </w:tcPr>
          <w:p w14:paraId="75945742" w14:textId="77777777" w:rsidR="002D3600" w:rsidRDefault="002D3600" w:rsidP="00996BA1">
            <w:pPr>
              <w:pStyle w:val="Flowchart-Body"/>
              <w:framePr w:hSpace="0" w:wrap="auto" w:vAnchor="margin" w:hAnchor="text" w:yAlign="inline"/>
            </w:pPr>
            <w:r>
              <w:br/>
            </w:r>
            <w:r w:rsidRPr="00735902">
              <w:drawing>
                <wp:inline distT="0" distB="0" distL="0" distR="0" wp14:anchorId="3E19BEF2" wp14:editId="7CBF3210">
                  <wp:extent cx="1866900" cy="190500"/>
                  <wp:effectExtent l="0" t="0" r="0" b="0"/>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11"/>
                          <a:stretch>
                            <a:fillRect/>
                          </a:stretch>
                        </pic:blipFill>
                        <pic:spPr>
                          <a:xfrm>
                            <a:off x="0" y="0"/>
                            <a:ext cx="1866900" cy="190500"/>
                          </a:xfrm>
                          <a:prstGeom prst="rect">
                            <a:avLst/>
                          </a:prstGeom>
                        </pic:spPr>
                      </pic:pic>
                    </a:graphicData>
                  </a:graphic>
                </wp:inline>
              </w:drawing>
            </w:r>
          </w:p>
        </w:tc>
      </w:tr>
      <w:tr w:rsidR="002D3600" w14:paraId="1233CB19" w14:textId="77777777" w:rsidTr="00996BA1">
        <w:trPr>
          <w:cantSplit/>
          <w:trHeight w:val="605"/>
        </w:trPr>
        <w:tc>
          <w:tcPr>
            <w:tcW w:w="9214" w:type="dxa"/>
            <w:gridSpan w:val="4"/>
            <w:shd w:val="clear" w:color="auto" w:fill="920030"/>
          </w:tcPr>
          <w:p w14:paraId="17D2EF52" w14:textId="77777777" w:rsidR="002D3600" w:rsidRDefault="002D3600" w:rsidP="00996BA1">
            <w:pPr>
              <w:pStyle w:val="Flowchart-HeadingWhite"/>
            </w:pPr>
            <w:r w:rsidRPr="00CE233F">
              <w:t>Internal Perspective</w:t>
            </w:r>
          </w:p>
        </w:tc>
      </w:tr>
      <w:tr w:rsidR="002D3600" w14:paraId="205FCEF1" w14:textId="77777777" w:rsidTr="00996BA1">
        <w:trPr>
          <w:cantSplit/>
          <w:trHeight w:val="897"/>
        </w:trPr>
        <w:tc>
          <w:tcPr>
            <w:tcW w:w="4607" w:type="dxa"/>
            <w:gridSpan w:val="2"/>
            <w:tcBorders>
              <w:right w:val="single" w:sz="4" w:space="0" w:color="auto"/>
            </w:tcBorders>
            <w:shd w:val="clear" w:color="auto" w:fill="F2F2F2"/>
          </w:tcPr>
          <w:p w14:paraId="68033B4C" w14:textId="77777777" w:rsidR="002D3600" w:rsidRDefault="002D3600" w:rsidP="00996BA1">
            <w:pPr>
              <w:pStyle w:val="Flowchart-Body"/>
              <w:framePr w:hSpace="0" w:wrap="auto" w:vAnchor="margin" w:hAnchor="text" w:yAlign="inline"/>
            </w:pPr>
            <w:r>
              <mc:AlternateContent>
                <mc:Choice Requires="wps">
                  <w:drawing>
                    <wp:anchor distT="0" distB="0" distL="114300" distR="114300" simplePos="0" relativeHeight="251661312" behindDoc="0" locked="0" layoutInCell="1" allowOverlap="1" wp14:anchorId="4DF089DF" wp14:editId="1FE605CF">
                      <wp:simplePos x="0" y="0"/>
                      <wp:positionH relativeFrom="column">
                        <wp:posOffset>2672080</wp:posOffset>
                      </wp:positionH>
                      <wp:positionV relativeFrom="paragraph">
                        <wp:posOffset>183564</wp:posOffset>
                      </wp:positionV>
                      <wp:extent cx="116065" cy="142336"/>
                      <wp:effectExtent l="0" t="0" r="0" b="0"/>
                      <wp:wrapNone/>
                      <wp:docPr id="32" name="Right Arrow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16065" cy="142336"/>
                              </a:xfrm>
                              <a:prstGeom prst="rightArrow">
                                <a:avLst/>
                              </a:prstGeom>
                              <a:solidFill>
                                <a:srgbClr val="9200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C8B08" id="Right Arrow 32" o:spid="_x0000_s1026" type="#_x0000_t13" style="position:absolute;margin-left:210.4pt;margin-top:14.45pt;width:9.15pt;height:1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" adj="10800" fillcolor="#920030" stroked="f" strokeweight="2pt"/>
                  </w:pict>
                </mc:Fallback>
              </mc:AlternateContent>
            </w:r>
            <w:r w:rsidRPr="00CE233F">
              <w:t xml:space="preserve">Internal response: </w:t>
            </w:r>
            <w:r>
              <w:t>p</w:t>
            </w:r>
            <w:r w:rsidRPr="00CE233F">
              <w:t>rogram and Dean</w:t>
            </w:r>
          </w:p>
        </w:tc>
        <w:tc>
          <w:tcPr>
            <w:tcW w:w="4607" w:type="dxa"/>
            <w:gridSpan w:val="2"/>
            <w:tcBorders>
              <w:left w:val="single" w:sz="4" w:space="0" w:color="auto"/>
            </w:tcBorders>
            <w:shd w:val="clear" w:color="auto" w:fill="F2F2F2"/>
          </w:tcPr>
          <w:p w14:paraId="5F06BBCF" w14:textId="77777777" w:rsidR="002D3600" w:rsidRDefault="002D3600" w:rsidP="00996BA1">
            <w:pPr>
              <w:pStyle w:val="Flowchart-Body"/>
              <w:framePr w:hSpace="0" w:wrap="auto" w:vAnchor="margin" w:hAnchor="text" w:yAlign="inline"/>
            </w:pPr>
            <w:r w:rsidRPr="00CE233F">
              <w:t>Final Assessment Report, Implementation Plan and Executive Summary</w:t>
            </w:r>
          </w:p>
        </w:tc>
      </w:tr>
      <w:tr w:rsidR="002D3600" w14:paraId="12EDAB6B" w14:textId="77777777" w:rsidTr="00996BA1">
        <w:trPr>
          <w:cantSplit/>
          <w:trHeight w:val="669"/>
        </w:trPr>
        <w:tc>
          <w:tcPr>
            <w:tcW w:w="9214" w:type="dxa"/>
            <w:gridSpan w:val="4"/>
            <w:shd w:val="clear" w:color="auto" w:fill="FFFFFF" w:themeFill="background1"/>
          </w:tcPr>
          <w:p w14:paraId="1692A5C1" w14:textId="77777777" w:rsidR="002D3600" w:rsidRPr="00CE233F" w:rsidRDefault="002D3600" w:rsidP="00996BA1">
            <w:pPr>
              <w:pStyle w:val="Flowchart-Body"/>
              <w:framePr w:hSpace="0" w:wrap="auto" w:vAnchor="margin" w:hAnchor="text" w:yAlign="inline"/>
            </w:pPr>
            <w:r>
              <w:br/>
            </w:r>
            <w:r w:rsidRPr="00735902">
              <w:drawing>
                <wp:inline distT="0" distB="0" distL="0" distR="0" wp14:anchorId="567988DA" wp14:editId="0F83E4F2">
                  <wp:extent cx="1866900" cy="190500"/>
                  <wp:effectExtent l="0" t="0" r="0" b="0"/>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val="1"/>
                              </a:ext>
                            </a:extLst>
                          </pic:cNvPr>
                          <pic:cNvPicPr/>
                        </pic:nvPicPr>
                        <pic:blipFill>
                          <a:blip r:embed="rId11"/>
                          <a:stretch>
                            <a:fillRect/>
                          </a:stretch>
                        </pic:blipFill>
                        <pic:spPr>
                          <a:xfrm>
                            <a:off x="0" y="0"/>
                            <a:ext cx="1866900" cy="190500"/>
                          </a:xfrm>
                          <a:prstGeom prst="rect">
                            <a:avLst/>
                          </a:prstGeom>
                        </pic:spPr>
                      </pic:pic>
                    </a:graphicData>
                  </a:graphic>
                </wp:inline>
              </w:drawing>
            </w:r>
          </w:p>
        </w:tc>
      </w:tr>
      <w:tr w:rsidR="002D3600" w14:paraId="203BA34B" w14:textId="77777777" w:rsidTr="00996BA1">
        <w:trPr>
          <w:cantSplit/>
          <w:trHeight w:val="625"/>
        </w:trPr>
        <w:tc>
          <w:tcPr>
            <w:tcW w:w="9214" w:type="dxa"/>
            <w:gridSpan w:val="4"/>
            <w:shd w:val="clear" w:color="auto" w:fill="920030"/>
          </w:tcPr>
          <w:p w14:paraId="42D5D43B" w14:textId="77777777" w:rsidR="002D3600" w:rsidRPr="00CE233F" w:rsidRDefault="002D3600" w:rsidP="00996BA1">
            <w:pPr>
              <w:pStyle w:val="Flowchart-HeadingWhite"/>
            </w:pPr>
            <w:r w:rsidRPr="00A61608">
              <w:t>Reporting Requirements</w:t>
            </w:r>
          </w:p>
        </w:tc>
      </w:tr>
      <w:tr w:rsidR="002D3600" w14:paraId="1BF88E4A" w14:textId="77777777" w:rsidTr="00996BA1">
        <w:trPr>
          <w:cantSplit/>
          <w:trHeight w:val="897"/>
        </w:trPr>
        <w:tc>
          <w:tcPr>
            <w:tcW w:w="3071" w:type="dxa"/>
            <w:tcBorders>
              <w:right w:val="single" w:sz="4" w:space="0" w:color="auto"/>
            </w:tcBorders>
            <w:shd w:val="clear" w:color="auto" w:fill="F2F2F2"/>
          </w:tcPr>
          <w:p w14:paraId="2AF42F24" w14:textId="77777777" w:rsidR="002D3600" w:rsidRDefault="002D3600" w:rsidP="00996BA1">
            <w:pPr>
              <w:pStyle w:val="Flowchart-Body"/>
              <w:framePr w:hSpace="0" w:wrap="auto" w:vAnchor="margin" w:hAnchor="text" w:yAlign="inline"/>
            </w:pPr>
            <w:r w:rsidRPr="00A61608">
              <w:t>University governance</w:t>
            </w:r>
          </w:p>
        </w:tc>
        <w:tc>
          <w:tcPr>
            <w:tcW w:w="3071" w:type="dxa"/>
            <w:gridSpan w:val="2"/>
            <w:tcBorders>
              <w:left w:val="single" w:sz="4" w:space="0" w:color="auto"/>
              <w:right w:val="single" w:sz="4" w:space="0" w:color="auto"/>
            </w:tcBorders>
            <w:shd w:val="clear" w:color="auto" w:fill="F2F2F2"/>
          </w:tcPr>
          <w:p w14:paraId="74C14913" w14:textId="77777777" w:rsidR="002D3600" w:rsidRDefault="002D3600" w:rsidP="00996BA1">
            <w:pPr>
              <w:pStyle w:val="Flowchart-Body"/>
              <w:framePr w:hSpace="0" w:wrap="auto" w:vAnchor="margin" w:hAnchor="text" w:yAlign="inline"/>
            </w:pPr>
            <w:r w:rsidRPr="00A61608">
              <w:t>Posted to university's website</w:t>
            </w:r>
          </w:p>
        </w:tc>
        <w:tc>
          <w:tcPr>
            <w:tcW w:w="3072" w:type="dxa"/>
            <w:tcBorders>
              <w:left w:val="single" w:sz="4" w:space="0" w:color="auto"/>
            </w:tcBorders>
            <w:shd w:val="clear" w:color="auto" w:fill="F2F2F2"/>
          </w:tcPr>
          <w:p w14:paraId="361D454E" w14:textId="77777777" w:rsidR="002D3600" w:rsidRPr="00CE233F" w:rsidRDefault="002D3600" w:rsidP="00996BA1">
            <w:pPr>
              <w:pStyle w:val="Flowchart-Body"/>
              <w:framePr w:hSpace="0" w:wrap="auto" w:vAnchor="margin" w:hAnchor="text" w:yAlign="inline"/>
            </w:pPr>
            <w:r w:rsidRPr="00A61608">
              <w:t>Timely monitoring reports</w:t>
            </w:r>
          </w:p>
        </w:tc>
      </w:tr>
      <w:tr w:rsidR="002D3600" w14:paraId="66DA7702" w14:textId="77777777" w:rsidTr="00996BA1">
        <w:trPr>
          <w:cantSplit/>
          <w:trHeight w:val="735"/>
        </w:trPr>
        <w:tc>
          <w:tcPr>
            <w:tcW w:w="9214" w:type="dxa"/>
            <w:gridSpan w:val="4"/>
            <w:shd w:val="clear" w:color="auto" w:fill="FFFFFF" w:themeFill="background1"/>
          </w:tcPr>
          <w:p w14:paraId="29777544" w14:textId="77777777" w:rsidR="002D3600" w:rsidRPr="00CE233F" w:rsidRDefault="002D3600" w:rsidP="00996BA1">
            <w:pPr>
              <w:pStyle w:val="Flowchart-Body"/>
              <w:framePr w:hSpace="0" w:wrap="auto" w:vAnchor="margin" w:hAnchor="text" w:yAlign="inline"/>
            </w:pPr>
            <w:r>
              <w:br/>
            </w:r>
            <w:r w:rsidRPr="00735902">
              <w:drawing>
                <wp:inline distT="0" distB="0" distL="0" distR="0" wp14:anchorId="51F2D1E8" wp14:editId="6B6BA1BF">
                  <wp:extent cx="1866900" cy="190500"/>
                  <wp:effectExtent l="0" t="0" r="0" b="0"/>
                  <wp:docPr id="34" name="Picture 3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extLst>
                              <a:ext uri="{C183D7F6-B498-43B3-948B-1728B52AA6E4}">
                                <adec:decorative xmlns:adec="http://schemas.microsoft.com/office/drawing/2017/decorative" val="1"/>
                              </a:ext>
                            </a:extLst>
                          </pic:cNvPr>
                          <pic:cNvPicPr/>
                        </pic:nvPicPr>
                        <pic:blipFill>
                          <a:blip r:embed="rId11"/>
                          <a:stretch>
                            <a:fillRect/>
                          </a:stretch>
                        </pic:blipFill>
                        <pic:spPr>
                          <a:xfrm>
                            <a:off x="0" y="0"/>
                            <a:ext cx="1866900" cy="190500"/>
                          </a:xfrm>
                          <a:prstGeom prst="rect">
                            <a:avLst/>
                          </a:prstGeom>
                        </pic:spPr>
                      </pic:pic>
                    </a:graphicData>
                  </a:graphic>
                </wp:inline>
              </w:drawing>
            </w:r>
          </w:p>
        </w:tc>
      </w:tr>
      <w:tr w:rsidR="002D3600" w14:paraId="3CC965F8" w14:textId="77777777" w:rsidTr="00996BA1">
        <w:trPr>
          <w:cantSplit/>
          <w:trHeight w:val="632"/>
        </w:trPr>
        <w:tc>
          <w:tcPr>
            <w:tcW w:w="9214" w:type="dxa"/>
            <w:gridSpan w:val="4"/>
            <w:shd w:val="clear" w:color="auto" w:fill="920030"/>
          </w:tcPr>
          <w:p w14:paraId="6614889A" w14:textId="77777777" w:rsidR="002D3600" w:rsidRPr="00CE233F" w:rsidRDefault="002D3600" w:rsidP="00996BA1">
            <w:pPr>
              <w:pStyle w:val="Flowchart-HeadingWhite"/>
            </w:pPr>
            <w:r w:rsidRPr="00BC6330">
              <w:t>External Reporting Requirements</w:t>
            </w:r>
          </w:p>
        </w:tc>
      </w:tr>
      <w:tr w:rsidR="002D3600" w14:paraId="2D9EA513" w14:textId="77777777" w:rsidTr="00996BA1">
        <w:trPr>
          <w:cantSplit/>
          <w:trHeight w:val="897"/>
        </w:trPr>
        <w:tc>
          <w:tcPr>
            <w:tcW w:w="9214" w:type="dxa"/>
            <w:gridSpan w:val="4"/>
            <w:shd w:val="clear" w:color="auto" w:fill="F2F2F2"/>
          </w:tcPr>
          <w:p w14:paraId="1559B5C3" w14:textId="77777777" w:rsidR="002D3600" w:rsidRPr="00CE233F" w:rsidRDefault="002D3600" w:rsidP="00996BA1">
            <w:pPr>
              <w:pStyle w:val="Flowchart-Body"/>
              <w:framePr w:hSpace="0" w:wrap="auto" w:vAnchor="margin" w:hAnchor="text" w:yAlign="inline"/>
            </w:pPr>
            <w:r w:rsidRPr="00BC6330">
              <w:t>FAR/IP to the Quality Council</w:t>
            </w:r>
          </w:p>
        </w:tc>
      </w:tr>
    </w:tbl>
    <w:p w14:paraId="3A2F9C53" w14:textId="77777777" w:rsidR="002D3600" w:rsidRDefault="002D3600" w:rsidP="002D3600">
      <w:pPr>
        <w:pStyle w:val="Body"/>
      </w:pPr>
    </w:p>
    <w:p w14:paraId="4F8CEE7F" w14:textId="77777777" w:rsidR="002D3600" w:rsidRDefault="002D3600" w:rsidP="002D3600">
      <w:pPr>
        <w:rPr>
          <w:sz w:val="18"/>
        </w:rPr>
      </w:pPr>
      <w:r>
        <w:br w:type="page"/>
      </w:r>
    </w:p>
    <w:p w14:paraId="6CA66FE0" w14:textId="77777777" w:rsidR="002D3600" w:rsidRPr="00AF66B0" w:rsidRDefault="002D3600" w:rsidP="002D3600">
      <w:pPr>
        <w:pStyle w:val="Heading2"/>
        <w:rPr>
          <w:lang w:val="en-US"/>
        </w:rPr>
      </w:pPr>
      <w:bookmarkStart w:id="15" w:name="_Toc88509239"/>
      <w:bookmarkStart w:id="16" w:name="_Toc98513200"/>
      <w:r>
        <w:rPr>
          <w:lang w:val="en-US"/>
        </w:rPr>
        <w:lastRenderedPageBreak/>
        <w:t>5.1</w:t>
      </w:r>
      <w:r>
        <w:rPr>
          <w:lang w:val="en-US"/>
        </w:rPr>
        <w:tab/>
      </w:r>
      <w:r w:rsidRPr="00AF66B0">
        <w:rPr>
          <w:lang w:val="en-US"/>
        </w:rPr>
        <w:t>Initial Institutional Process</w:t>
      </w:r>
      <w:bookmarkEnd w:id="15"/>
      <w:bookmarkEnd w:id="16"/>
    </w:p>
    <w:p w14:paraId="481EDA3D" w14:textId="77777777" w:rsidR="002D3600" w:rsidRPr="00AF66B0" w:rsidRDefault="002D3600" w:rsidP="002D3600">
      <w:pPr>
        <w:pStyle w:val="Heading3-exclTOC"/>
      </w:pPr>
      <w:r>
        <w:t>5.1.1</w:t>
      </w:r>
      <w:r>
        <w:tab/>
      </w:r>
      <w:r w:rsidRPr="00AF66B0">
        <w:t>Schedule of Reviews</w:t>
      </w:r>
    </w:p>
    <w:p w14:paraId="62A7255C" w14:textId="77777777" w:rsidR="002D3600" w:rsidRDefault="002D3600" w:rsidP="002D3600">
      <w:pPr>
        <w:pStyle w:val="Body"/>
        <w:rPr>
          <w:lang w:val="en-US"/>
        </w:rPr>
      </w:pPr>
      <w:r w:rsidRPr="00AF66B0">
        <w:rPr>
          <w:lang w:val="en-US"/>
        </w:rPr>
        <w:t>Each institution’s IQAP will establish a cycle, not to exceed eight years, for the review of all of its programs. It will also establish a Schedule of Reviews, which consists of the institution’s full complement of undergraduate programs and graduate degree and diploma programs, and will indicate how the cycle may coincide with any other internal reviews and professional accreditation (</w:t>
      </w:r>
      <w:r w:rsidRPr="00B95D8A">
        <w:rPr>
          <w:lang w:val="en-US"/>
        </w:rPr>
        <w:t xml:space="preserve">see </w:t>
      </w:r>
      <w:hyperlink w:anchor="_5.5_Use_of" w:history="1">
        <w:r w:rsidRPr="00B95D8A">
          <w:rPr>
            <w:rStyle w:val="Hyperlink"/>
            <w:lang w:val="en-US"/>
          </w:rPr>
          <w:t>Section 5.5</w:t>
        </w:r>
      </w:hyperlink>
      <w:r w:rsidRPr="00AF66B0">
        <w:rPr>
          <w:lang w:val="en-US"/>
        </w:rPr>
        <w:t xml:space="preserve">). This review schedule should also consider all independent offerings of each program. As noted in </w:t>
      </w:r>
      <w:hyperlink w:anchor="Section2x9x3FIrstCPR" w:history="1">
        <w:r w:rsidRPr="00AF66B0">
          <w:rPr>
            <w:rStyle w:val="Hyperlink"/>
            <w:lang w:val="en-US"/>
          </w:rPr>
          <w:t>Section 2.9.3</w:t>
        </w:r>
      </w:hyperlink>
      <w:r w:rsidRPr="00AF66B0">
        <w:rPr>
          <w:lang w:val="en-US"/>
        </w:rPr>
        <w:t>, the first cyclical review of any new program must be scheduled to take place no more than eight years after the date</w:t>
      </w:r>
      <w:r>
        <w:rPr>
          <w:lang w:val="en-US"/>
        </w:rPr>
        <w:t xml:space="preserve"> </w:t>
      </w:r>
      <w:r w:rsidRPr="00AF66B0">
        <w:rPr>
          <w:lang w:val="en-US"/>
        </w:rPr>
        <w:t>of the program’s initial enrolment.</w:t>
      </w:r>
    </w:p>
    <w:p w14:paraId="4FA42250" w14:textId="77777777" w:rsidR="002D3600" w:rsidRPr="00AF66B0" w:rsidRDefault="002D3600" w:rsidP="002D3600">
      <w:pPr>
        <w:pStyle w:val="Body"/>
        <w:rPr>
          <w:lang w:val="en-US"/>
        </w:rPr>
      </w:pPr>
      <w:r w:rsidRPr="00AF66B0">
        <w:rPr>
          <w:lang w:val="en-US"/>
        </w:rPr>
        <w:t>The Schedule of Reviews will reflect all program offerings, including those that are joint/inter-institutional, multi-disciplinary, interdisciplinary or at multiple sites. The Schedule will also include all modes of program delivery and can reflect independent or concurrent review of a university’s undergraduate and graduate programs, and/or with other departments and academic units. Nevertheless, it is essential that the quality of each academic program and the learning environment of the students in each program be explicitly addressed in the self-study and external reviewers’ report(s), as set out in these protocols.</w:t>
      </w:r>
    </w:p>
    <w:p w14:paraId="66C53266" w14:textId="77777777" w:rsidR="002D3600" w:rsidRPr="00AF66B0" w:rsidRDefault="002D3600" w:rsidP="002D3600">
      <w:pPr>
        <w:pStyle w:val="Heading3-exclTOC"/>
      </w:pPr>
      <w:bookmarkStart w:id="17" w:name="_Toc237763942"/>
      <w:bookmarkStart w:id="18" w:name="_Toc237938877"/>
      <w:r>
        <w:t>5.1.2</w:t>
      </w:r>
      <w:r>
        <w:tab/>
      </w:r>
      <w:r w:rsidRPr="00AF66B0">
        <w:t>The Program or Programs</w:t>
      </w:r>
    </w:p>
    <w:p w14:paraId="362B5D01" w14:textId="77777777" w:rsidR="002D3600" w:rsidRPr="00AF66B0" w:rsidRDefault="002D3600" w:rsidP="002D3600">
      <w:pPr>
        <w:pStyle w:val="Body"/>
        <w:rPr>
          <w:lang w:val="en-US"/>
        </w:rPr>
      </w:pPr>
      <w:r w:rsidRPr="00AF66B0">
        <w:rPr>
          <w:lang w:val="en-US"/>
        </w:rPr>
        <w:t xml:space="preserve">The appropriate university authority (e.g., Vice-President Academic or the Quality Assurance Office) initiates the scheduled review, identifying the specific program or programs that will be reviewed and identifying, where there is more than one mode or site involved in delivering a specific program, the distinct versions of each program that are to be reviewed. (See </w:t>
      </w:r>
      <w:hyperlink r:id="rId12" w:history="1">
        <w:r w:rsidRPr="00031B3C">
          <w:rPr>
            <w:rStyle w:val="Hyperlink"/>
            <w:lang w:val="en-US"/>
          </w:rPr>
          <w:t>Guidance</w:t>
        </w:r>
      </w:hyperlink>
      <w:r w:rsidRPr="00AF66B0">
        <w:rPr>
          <w:lang w:val="en-US"/>
        </w:rPr>
        <w:t xml:space="preserve"> for information on reviewing joint programs with other institutions.)</w:t>
      </w:r>
    </w:p>
    <w:p w14:paraId="389BC30F" w14:textId="77777777" w:rsidR="002D3600" w:rsidRPr="00AF66B0" w:rsidRDefault="002D3600" w:rsidP="002D3600">
      <w:pPr>
        <w:pStyle w:val="Heading3-exclTOC"/>
      </w:pPr>
      <w:r>
        <w:t>5.1.3</w:t>
      </w:r>
      <w:r>
        <w:tab/>
      </w:r>
      <w:r w:rsidRPr="00AF66B0">
        <w:t>Self-study</w:t>
      </w:r>
    </w:p>
    <w:p w14:paraId="4A96EC2B" w14:textId="77777777" w:rsidR="002D3600" w:rsidRPr="00AF66B0" w:rsidRDefault="002D3600" w:rsidP="002D3600">
      <w:pPr>
        <w:pStyle w:val="Body"/>
        <w:rPr>
          <w:lang w:val="en-US"/>
        </w:rPr>
      </w:pPr>
      <w:r w:rsidRPr="00AF66B0">
        <w:rPr>
          <w:lang w:val="en-US"/>
        </w:rPr>
        <w:t xml:space="preserve">The cyclical program review process includes the submission of a self-study document (see </w:t>
      </w:r>
      <w:hyperlink r:id="rId13" w:history="1">
        <w:r w:rsidRPr="00031B3C">
          <w:rPr>
            <w:rStyle w:val="Hyperlink"/>
            <w:lang w:val="en-US"/>
          </w:rPr>
          <w:t>Guidance</w:t>
        </w:r>
      </w:hyperlink>
      <w:r w:rsidRPr="00AF66B0">
        <w:rPr>
          <w:lang w:val="en-US"/>
        </w:rPr>
        <w:t>) that is broad-based, reflective, and forward-looking, and includes critical analysis of the program(s). The views of program faculty, staff, and students must be considered during the process of writing of the self-study. When an institution chooses to review different program levels (for example, graduate and undergraduate), program modes, or programs offered at different locations at the same time, institutions may, in accordance with their respective IQAPs, prepare separate reports for each discrete program or address each program within a single omnibus report.</w:t>
      </w:r>
    </w:p>
    <w:p w14:paraId="1AEEFFAC" w14:textId="77777777" w:rsidR="002D3600" w:rsidRPr="00AF66B0" w:rsidRDefault="002D3600" w:rsidP="002D3600">
      <w:pPr>
        <w:pStyle w:val="Body"/>
        <w:rPr>
          <w:lang w:val="en-US"/>
        </w:rPr>
      </w:pPr>
      <w:r w:rsidRPr="00AF66B0">
        <w:rPr>
          <w:lang w:val="en-US"/>
        </w:rPr>
        <w:t>The following elements for the preparation and writing of the self-study are required and must be addressed in the IQAP:</w:t>
      </w:r>
    </w:p>
    <w:p w14:paraId="5DD318FD" w14:textId="77777777" w:rsidR="002D3600" w:rsidRPr="00AF66B0" w:rsidRDefault="002D3600" w:rsidP="00203534">
      <w:pPr>
        <w:pStyle w:val="Listletters"/>
        <w:numPr>
          <w:ilvl w:val="0"/>
          <w:numId w:val="15"/>
        </w:numPr>
      </w:pPr>
      <w:r w:rsidRPr="00AF66B0">
        <w:t xml:space="preserve">Description of how the self-study was written, including how the views of faculty, staff and students were obtained and considered (see </w:t>
      </w:r>
      <w:hyperlink r:id="rId14" w:history="1">
        <w:r w:rsidRPr="00031B3C">
          <w:rPr>
            <w:rStyle w:val="Hyperlink"/>
          </w:rPr>
          <w:t>Guidance</w:t>
        </w:r>
      </w:hyperlink>
      <w:r w:rsidRPr="00AF66B0">
        <w:t>);</w:t>
      </w:r>
    </w:p>
    <w:p w14:paraId="067281E6" w14:textId="77777777" w:rsidR="002D3600" w:rsidRPr="00AF66B0" w:rsidRDefault="002D3600" w:rsidP="002D3600">
      <w:pPr>
        <w:pStyle w:val="Listletters"/>
      </w:pPr>
      <w:r w:rsidRPr="00AF66B0">
        <w:t xml:space="preserve">Requirement for inclusion of the evaluation criteria and quality indicators identified in </w:t>
      </w:r>
      <w:r w:rsidRPr="00CA5009">
        <w:t xml:space="preserve">Framework </w:t>
      </w:r>
      <w:hyperlink w:anchor="Section5x1x3x1CPREvalCrit" w:history="1">
        <w:r w:rsidRPr="00164093">
          <w:rPr>
            <w:rStyle w:val="Hyperlink"/>
          </w:rPr>
          <w:t>Section 5.1.3.1</w:t>
        </w:r>
      </w:hyperlink>
      <w:r w:rsidRPr="00AF66B0">
        <w:t>, for each discrete program being reviewed;</w:t>
      </w:r>
    </w:p>
    <w:p w14:paraId="71EDFBD0" w14:textId="77777777" w:rsidR="002D3600" w:rsidRPr="00AF66B0" w:rsidRDefault="002D3600" w:rsidP="002D3600">
      <w:pPr>
        <w:pStyle w:val="Listletters"/>
      </w:pPr>
      <w:r w:rsidRPr="00AF66B0">
        <w:t>Program-related data and measures of performance, including applicable provincial, national and professional standards (where available), with a notation of all relevant data sources;</w:t>
      </w:r>
    </w:p>
    <w:p w14:paraId="51E261A8" w14:textId="77777777" w:rsidR="002D3600" w:rsidRPr="00AF66B0" w:rsidRDefault="002D3600" w:rsidP="002D3600">
      <w:pPr>
        <w:pStyle w:val="Listletters"/>
      </w:pPr>
      <w:r w:rsidRPr="00AF66B0">
        <w:t>Description of how concerns and recommendations raised in previous reviews have since been addressed, especially those detailed in the Final Assessment Report, Implementation Plan and subsequent monitoring reports from the previous Cyclical Review of the program;</w:t>
      </w:r>
    </w:p>
    <w:p w14:paraId="74C9570D" w14:textId="77777777" w:rsidR="002D3600" w:rsidRPr="00AF66B0" w:rsidRDefault="002D3600" w:rsidP="002D3600">
      <w:pPr>
        <w:pStyle w:val="Listletters"/>
      </w:pPr>
      <w:r w:rsidRPr="00AF66B0">
        <w:t xml:space="preserve">For the first Cyclical Review of a new program, the steps taken to address any issues or items flagged in the monitoring report for follow-up (see </w:t>
      </w:r>
      <w:hyperlink w:anchor="Section2x9x2Monitoring" w:history="1">
        <w:r w:rsidRPr="00164093">
          <w:rPr>
            <w:rStyle w:val="Hyperlink"/>
          </w:rPr>
          <w:t>Section 2.9.2</w:t>
        </w:r>
      </w:hyperlink>
      <w:r w:rsidRPr="00AF66B0">
        <w:t xml:space="preserve">), and/or items identified for follow-up by the Quality Council (for example, in the form of a </w:t>
      </w:r>
      <w:r>
        <w:t>N</w:t>
      </w:r>
      <w:r w:rsidRPr="00AF66B0">
        <w:t xml:space="preserve">ote and/or </w:t>
      </w:r>
      <w:r>
        <w:t>R</w:t>
      </w:r>
      <w:r w:rsidRPr="00AF66B0">
        <w:t xml:space="preserve">eport for the first Cyclical Program Review in the Quality Council’s approval letter – see </w:t>
      </w:r>
      <w:hyperlink w:anchor="Section2x6x3QCDecision" w:history="1">
        <w:r w:rsidRPr="00164093">
          <w:rPr>
            <w:rStyle w:val="Hyperlink"/>
          </w:rPr>
          <w:t>Section 2.6.3 a) or b</w:t>
        </w:r>
      </w:hyperlink>
      <w:r w:rsidRPr="00F511FA">
        <w:rPr>
          <w:color w:val="920030"/>
        </w:rPr>
        <w:t>)</w:t>
      </w:r>
      <w:r w:rsidRPr="00AF66B0">
        <w:t>);</w:t>
      </w:r>
    </w:p>
    <w:p w14:paraId="6B1D7293" w14:textId="77777777" w:rsidR="002D3600" w:rsidRPr="00AF66B0" w:rsidRDefault="002D3600" w:rsidP="002D3600">
      <w:pPr>
        <w:pStyle w:val="Listletters"/>
      </w:pPr>
      <w:r w:rsidRPr="00AF66B0">
        <w:lastRenderedPageBreak/>
        <w:t>Where appropriate, any unique curriculum or program innovations, creative components, or significant high impact practices;</w:t>
      </w:r>
    </w:p>
    <w:p w14:paraId="63C15E1F" w14:textId="77777777" w:rsidR="002D3600" w:rsidRPr="00AF66B0" w:rsidRDefault="002D3600" w:rsidP="002D3600">
      <w:pPr>
        <w:pStyle w:val="Listletters"/>
      </w:pPr>
      <w:r w:rsidRPr="00AF66B0">
        <w:t>Areas that the program’s faculty, staff and/or students have identified as requiring improvement, or as holding promise for enhancement and/or opportunities for curricular change; and</w:t>
      </w:r>
    </w:p>
    <w:p w14:paraId="0C44BAAF" w14:textId="77777777" w:rsidR="002D3600" w:rsidRPr="00AF66B0" w:rsidRDefault="002D3600" w:rsidP="002D3600">
      <w:pPr>
        <w:pStyle w:val="Listletters"/>
      </w:pPr>
      <w:r w:rsidRPr="00AF66B0">
        <w:t xml:space="preserve">Assessment of the adequacy of all relevant academic services that directly contribute to the academic quality of each program under review (see </w:t>
      </w:r>
      <w:hyperlink r:id="rId15" w:history="1">
        <w:r w:rsidRPr="00DB3B98">
          <w:rPr>
            <w:rStyle w:val="Hyperlink"/>
          </w:rPr>
          <w:t>Guidance</w:t>
        </w:r>
      </w:hyperlink>
      <w:r w:rsidRPr="00AF66B0">
        <w:t>).</w:t>
      </w:r>
    </w:p>
    <w:p w14:paraId="43BA82DF" w14:textId="77777777" w:rsidR="002D3600" w:rsidRDefault="002D3600" w:rsidP="002D3600">
      <w:pPr>
        <w:pStyle w:val="Body"/>
        <w:rPr>
          <w:lang w:val="en-US"/>
        </w:rPr>
      </w:pPr>
      <w:r w:rsidRPr="00AF66B0">
        <w:rPr>
          <w:lang w:val="en-US"/>
        </w:rPr>
        <w:t>The university may identify any other pertinent information that it deems appropriate for inclusion. The input of others deemed to be relevant and useful, such as graduates of the program, representatives of industry, the professions, practical training programs, and employers may also be included.</w:t>
      </w:r>
      <w:bookmarkStart w:id="19" w:name="Section5x1x3x1CPREvalCrit"/>
      <w:bookmarkStart w:id="20" w:name="_Toc88509240"/>
      <w:bookmarkEnd w:id="19"/>
    </w:p>
    <w:p w14:paraId="653B80CC" w14:textId="77777777" w:rsidR="002D3600" w:rsidRPr="00093683" w:rsidRDefault="002D3600" w:rsidP="002D3600">
      <w:pPr>
        <w:pStyle w:val="Heading4"/>
      </w:pPr>
      <w:r w:rsidRPr="00093683">
        <w:t>5.1.3.1</w:t>
      </w:r>
      <w:r w:rsidRPr="00093683">
        <w:tab/>
        <w:t>Evaluation Criteria</w:t>
      </w:r>
      <w:bookmarkEnd w:id="20"/>
      <w:r w:rsidRPr="00093683">
        <w:t xml:space="preserve"> </w:t>
      </w:r>
    </w:p>
    <w:p w14:paraId="36C8FF81" w14:textId="77777777" w:rsidR="002D3600" w:rsidRPr="00AF66B0" w:rsidRDefault="002D3600" w:rsidP="002D3600">
      <w:pPr>
        <w:pStyle w:val="Body"/>
        <w:rPr>
          <w:lang w:val="en-US"/>
        </w:rPr>
      </w:pPr>
      <w:r w:rsidRPr="00AF66B0">
        <w:rPr>
          <w:lang w:val="en-US"/>
        </w:rPr>
        <w:t>The IQAP protocol for review of existing undergraduate and graduate programs shall minimally require that the evaluation criteria, as set out below, be addressed in both the self-study and external reviewers’ reports. Where it so chooses, the university may expand upon these evaluation criteria.</w:t>
      </w:r>
    </w:p>
    <w:p w14:paraId="57FED932" w14:textId="77777777" w:rsidR="002D3600" w:rsidRPr="00AF66B0" w:rsidRDefault="002D3600" w:rsidP="002D3600">
      <w:pPr>
        <w:pStyle w:val="Heading5"/>
        <w:rPr>
          <w:lang w:val="en-US"/>
        </w:rPr>
      </w:pPr>
      <w:r>
        <w:rPr>
          <w:lang w:val="en-US"/>
        </w:rPr>
        <w:t>5.1.3.1.1</w:t>
      </w:r>
      <w:r>
        <w:rPr>
          <w:lang w:val="en-US"/>
        </w:rPr>
        <w:tab/>
      </w:r>
      <w:r w:rsidRPr="00DB3B98">
        <w:rPr>
          <w:lang w:val="en-US"/>
        </w:rPr>
        <w:t>Program objectives</w:t>
      </w:r>
    </w:p>
    <w:p w14:paraId="66DF2B21" w14:textId="77777777" w:rsidR="002D3600" w:rsidRPr="00253ED9" w:rsidRDefault="002D3600" w:rsidP="00203534">
      <w:pPr>
        <w:pStyle w:val="Listletters"/>
        <w:numPr>
          <w:ilvl w:val="0"/>
          <w:numId w:val="16"/>
        </w:numPr>
        <w:rPr>
          <w:lang w:val="en-US"/>
        </w:rPr>
      </w:pPr>
      <w:r w:rsidRPr="00253ED9">
        <w:t>Consistency</w:t>
      </w:r>
      <w:r w:rsidRPr="00253ED9">
        <w:rPr>
          <w:lang w:val="en-US"/>
        </w:rPr>
        <w:t xml:space="preserve"> of the program’s objectives with the institution’s mission and academic plans.</w:t>
      </w:r>
    </w:p>
    <w:p w14:paraId="1A867445" w14:textId="77777777" w:rsidR="002D3600" w:rsidRPr="00AF66B0" w:rsidRDefault="002D3600" w:rsidP="002D3600">
      <w:pPr>
        <w:pStyle w:val="Heading5"/>
        <w:rPr>
          <w:lang w:val="en-US"/>
        </w:rPr>
      </w:pPr>
      <w:r>
        <w:rPr>
          <w:lang w:val="en-US"/>
        </w:rPr>
        <w:t>5.1.3.1.2</w:t>
      </w:r>
      <w:r>
        <w:rPr>
          <w:lang w:val="en-US"/>
        </w:rPr>
        <w:tab/>
      </w:r>
      <w:r w:rsidRPr="00AF66B0">
        <w:rPr>
          <w:lang w:val="en-US"/>
        </w:rPr>
        <w:t>Program requirements</w:t>
      </w:r>
    </w:p>
    <w:p w14:paraId="33274865" w14:textId="77777777" w:rsidR="002D3600" w:rsidRPr="00253ED9" w:rsidRDefault="002D3600" w:rsidP="00203534">
      <w:pPr>
        <w:pStyle w:val="Listletters"/>
        <w:numPr>
          <w:ilvl w:val="0"/>
          <w:numId w:val="17"/>
        </w:numPr>
        <w:rPr>
          <w:lang w:val="en-US"/>
        </w:rPr>
      </w:pPr>
      <w:r w:rsidRPr="00253ED9">
        <w:rPr>
          <w:lang w:val="en-US"/>
        </w:rPr>
        <w:t>Appropriateness of the program’s structure and the requirements to meet its objectives and the program-level learning outcomes;</w:t>
      </w:r>
    </w:p>
    <w:p w14:paraId="05110F8E" w14:textId="77777777" w:rsidR="002D3600" w:rsidRPr="00AF66B0" w:rsidRDefault="002D3600" w:rsidP="002D3600">
      <w:pPr>
        <w:pStyle w:val="Listletters"/>
        <w:rPr>
          <w:lang w:val="en-US"/>
        </w:rPr>
      </w:pPr>
      <w:r w:rsidRPr="00AF66B0">
        <w:rPr>
          <w:lang w:val="en-US"/>
        </w:rPr>
        <w:t>Appropriateness of the program’s structure, requirements and program-level learning outcomes in meeting the institution’s own undergraduate or graduate Degree Level Expectations;</w:t>
      </w:r>
    </w:p>
    <w:p w14:paraId="7A8E6B49" w14:textId="77777777" w:rsidR="002D3600" w:rsidRPr="00AF66B0" w:rsidRDefault="002D3600" w:rsidP="002D3600">
      <w:pPr>
        <w:pStyle w:val="Listletters"/>
        <w:rPr>
          <w:lang w:val="en-US"/>
        </w:rPr>
      </w:pPr>
      <w:r w:rsidRPr="00AF66B0">
        <w:rPr>
          <w:lang w:val="en-US"/>
        </w:rPr>
        <w:t xml:space="preserve">Appropriateness and effectiveness of the mode(s) of delivery (see </w:t>
      </w:r>
      <w:hyperlink w:anchor="ModesofDeliveryDefinition" w:history="1">
        <w:r w:rsidRPr="00AF66B0">
          <w:rPr>
            <w:rStyle w:val="Hyperlink"/>
            <w:lang w:val="en-US"/>
          </w:rPr>
          <w:t>Definitions</w:t>
        </w:r>
      </w:hyperlink>
      <w:r w:rsidRPr="00AF66B0">
        <w:rPr>
          <w:lang w:val="en-US"/>
        </w:rPr>
        <w:t>) to facilitate students’ successful completion of the program-level learning outcomes; and</w:t>
      </w:r>
    </w:p>
    <w:p w14:paraId="44B6D245" w14:textId="77777777" w:rsidR="002D3600" w:rsidRPr="00AF66B0" w:rsidRDefault="002D3600" w:rsidP="002D3600">
      <w:pPr>
        <w:pStyle w:val="Listletters"/>
        <w:rPr>
          <w:lang w:val="en-US"/>
        </w:rPr>
      </w:pPr>
      <w:r w:rsidRPr="00AF66B0">
        <w:rPr>
          <w:lang w:val="en-US"/>
        </w:rPr>
        <w:t>Ways in which the curriculum addresses the current state of the discipline or area of study.</w:t>
      </w:r>
    </w:p>
    <w:p w14:paraId="34AD798F" w14:textId="77777777" w:rsidR="002D3600" w:rsidRPr="00AF66B0" w:rsidRDefault="002D3600" w:rsidP="002D3600">
      <w:pPr>
        <w:pStyle w:val="Heading5"/>
        <w:rPr>
          <w:lang w:val="en-US"/>
        </w:rPr>
      </w:pPr>
      <w:r>
        <w:rPr>
          <w:lang w:val="en-US"/>
        </w:rPr>
        <w:t>5.1.3.1.3</w:t>
      </w:r>
      <w:r>
        <w:rPr>
          <w:lang w:val="en-US"/>
        </w:rPr>
        <w:tab/>
      </w:r>
      <w:r w:rsidRPr="00AF66B0">
        <w:rPr>
          <w:lang w:val="en-US"/>
        </w:rPr>
        <w:t>Program requirements for graduate programs only</w:t>
      </w:r>
    </w:p>
    <w:p w14:paraId="7E1D2A47" w14:textId="77777777" w:rsidR="002D3600" w:rsidRPr="00B43390" w:rsidRDefault="002D3600" w:rsidP="00203534">
      <w:pPr>
        <w:pStyle w:val="Listletters"/>
        <w:numPr>
          <w:ilvl w:val="0"/>
          <w:numId w:val="18"/>
        </w:numPr>
      </w:pPr>
      <w:r w:rsidRPr="00B43390">
        <w:t>Clear rationale for program length that ensures that students can complete the program-level learning outcomes and requirements within the time required;</w:t>
      </w:r>
    </w:p>
    <w:p w14:paraId="3FEBE300" w14:textId="77777777" w:rsidR="002D3600" w:rsidRPr="00B43390" w:rsidRDefault="002D3600" w:rsidP="002D3600">
      <w:pPr>
        <w:pStyle w:val="Listletters"/>
      </w:pPr>
      <w:r w:rsidRPr="00B43390">
        <w:t>Evidence that each graduate student in the program is required to take a minimum of two-thirds of the course requirements from among graduate level courses; and</w:t>
      </w:r>
    </w:p>
    <w:p w14:paraId="57703E8E" w14:textId="77777777" w:rsidR="002D3600" w:rsidRPr="00B43390" w:rsidRDefault="002D3600" w:rsidP="002D3600">
      <w:pPr>
        <w:pStyle w:val="Listletters"/>
      </w:pPr>
      <w:r w:rsidRPr="00B43390">
        <w:t>For research-focused graduate programs, clear indication of the nature and suitability of the major research requirements for degree completion.</w:t>
      </w:r>
      <w:bookmarkStart w:id="21" w:name="_GoBack"/>
      <w:bookmarkEnd w:id="21"/>
    </w:p>
    <w:p w14:paraId="081CB956" w14:textId="77777777" w:rsidR="002D3600" w:rsidRPr="00AF66B0" w:rsidRDefault="002D3600" w:rsidP="002D3600">
      <w:pPr>
        <w:pStyle w:val="Heading5"/>
        <w:rPr>
          <w:lang w:val="en-US"/>
        </w:rPr>
      </w:pPr>
      <w:r>
        <w:rPr>
          <w:lang w:val="en-US"/>
        </w:rPr>
        <w:t>5.1.3.1.4</w:t>
      </w:r>
      <w:r>
        <w:rPr>
          <w:lang w:val="en-US"/>
        </w:rPr>
        <w:tab/>
      </w:r>
      <w:r w:rsidRPr="00AF66B0">
        <w:rPr>
          <w:lang w:val="en-US"/>
        </w:rPr>
        <w:t xml:space="preserve">Assessment of teaching and learning (see </w:t>
      </w:r>
      <w:hyperlink r:id="rId16" w:history="1">
        <w:r w:rsidRPr="0051043F">
          <w:rPr>
            <w:rStyle w:val="Hyperlink"/>
            <w:lang w:val="en-US"/>
          </w:rPr>
          <w:t>Guidance</w:t>
        </w:r>
      </w:hyperlink>
      <w:r w:rsidRPr="00AF66B0">
        <w:rPr>
          <w:lang w:val="en-US"/>
        </w:rPr>
        <w:t>)</w:t>
      </w:r>
    </w:p>
    <w:p w14:paraId="50FED35C" w14:textId="77777777" w:rsidR="002D3600" w:rsidRPr="00B43390" w:rsidRDefault="002D3600" w:rsidP="00203534">
      <w:pPr>
        <w:pStyle w:val="Listletters"/>
        <w:numPr>
          <w:ilvl w:val="0"/>
          <w:numId w:val="19"/>
        </w:numPr>
        <w:rPr>
          <w:lang w:val="en-US"/>
        </w:rPr>
      </w:pPr>
      <w:r w:rsidRPr="00B43390">
        <w:rPr>
          <w:lang w:val="en-US"/>
        </w:rPr>
        <w:t>Appropriateness and effectiveness of the methods for assessing student achievement of the program-level learning outcomes and degree level expectations; and</w:t>
      </w:r>
    </w:p>
    <w:p w14:paraId="5AFF5653" w14:textId="77777777" w:rsidR="002D3600" w:rsidRPr="00AF66B0" w:rsidRDefault="002D3600" w:rsidP="002D3600">
      <w:pPr>
        <w:pStyle w:val="Listletters"/>
      </w:pPr>
      <w:r w:rsidRPr="00AF66B0">
        <w:rPr>
          <w:lang w:val="en-US"/>
        </w:rPr>
        <w:t xml:space="preserve">Appropriateness and effectiveness </w:t>
      </w:r>
      <w:r w:rsidRPr="00AF66B0">
        <w:t>of the plans to monitor and assess:</w:t>
      </w:r>
    </w:p>
    <w:p w14:paraId="109F8932" w14:textId="77777777" w:rsidR="002D3600" w:rsidRPr="00A5581F" w:rsidRDefault="002D3600" w:rsidP="00203534">
      <w:pPr>
        <w:pStyle w:val="Listroman"/>
        <w:numPr>
          <w:ilvl w:val="0"/>
          <w:numId w:val="35"/>
        </w:numPr>
      </w:pPr>
      <w:r w:rsidRPr="00A5581F">
        <w:t>The overall quality of the program;</w:t>
      </w:r>
    </w:p>
    <w:p w14:paraId="535EEAE0" w14:textId="77777777" w:rsidR="002D3600" w:rsidRPr="00A5581F" w:rsidRDefault="002D3600" w:rsidP="002D3600">
      <w:pPr>
        <w:pStyle w:val="Listroman"/>
      </w:pPr>
      <w:r w:rsidRPr="00A5581F">
        <w:t>Whether the program continues to achieve in practice its objectives;</w:t>
      </w:r>
    </w:p>
    <w:p w14:paraId="7B65778D" w14:textId="77777777" w:rsidR="002D3600" w:rsidRPr="00A5581F" w:rsidRDefault="002D3600" w:rsidP="002D3600">
      <w:pPr>
        <w:pStyle w:val="Listroman"/>
      </w:pPr>
      <w:r w:rsidRPr="00A5581F">
        <w:t>Whether its students are achieving the program-level learning outcomes; and</w:t>
      </w:r>
    </w:p>
    <w:p w14:paraId="7EA856CD" w14:textId="77777777" w:rsidR="002D3600" w:rsidRPr="00A5581F" w:rsidRDefault="002D3600" w:rsidP="002D3600">
      <w:pPr>
        <w:pStyle w:val="Listroman"/>
      </w:pPr>
      <w:r w:rsidRPr="00A5581F">
        <w:lastRenderedPageBreak/>
        <w:t>How the resulting information will be documented and subsequently used to inform continuous program improvement.</w:t>
      </w:r>
    </w:p>
    <w:p w14:paraId="1B16FCF9" w14:textId="77777777" w:rsidR="002D3600" w:rsidRPr="00AF66B0" w:rsidRDefault="002D3600" w:rsidP="002D3600">
      <w:pPr>
        <w:pStyle w:val="Heading5"/>
        <w:rPr>
          <w:lang w:val="en-US"/>
        </w:rPr>
      </w:pPr>
      <w:r>
        <w:rPr>
          <w:lang w:val="en-US"/>
        </w:rPr>
        <w:t>5.1.3.1.5</w:t>
      </w:r>
      <w:r>
        <w:rPr>
          <w:lang w:val="en-US"/>
        </w:rPr>
        <w:tab/>
      </w:r>
      <w:r w:rsidRPr="00AF66B0">
        <w:rPr>
          <w:lang w:val="en-US"/>
        </w:rPr>
        <w:t xml:space="preserve">Admission </w:t>
      </w:r>
      <w:r w:rsidRPr="00B43390">
        <w:t>requirements</w:t>
      </w:r>
    </w:p>
    <w:p w14:paraId="5BF391BB" w14:textId="77777777" w:rsidR="002D3600" w:rsidRPr="00B43390" w:rsidRDefault="002D3600" w:rsidP="00203534">
      <w:pPr>
        <w:pStyle w:val="Listletters"/>
        <w:numPr>
          <w:ilvl w:val="0"/>
          <w:numId w:val="20"/>
        </w:numPr>
        <w:rPr>
          <w:lang w:val="en-US"/>
        </w:rPr>
      </w:pPr>
      <w:r w:rsidRPr="00B43390">
        <w:rPr>
          <w:lang w:val="en-US"/>
        </w:rPr>
        <w:t>Appropriateness of the program’s admission requirements given the program’s objectives and program-level learning outcomes; and</w:t>
      </w:r>
    </w:p>
    <w:p w14:paraId="2A2A9265" w14:textId="77777777" w:rsidR="002D3600" w:rsidRPr="00AF66B0" w:rsidRDefault="002D3600" w:rsidP="002D3600">
      <w:pPr>
        <w:pStyle w:val="Listletters"/>
        <w:rPr>
          <w:lang w:val="en-US"/>
        </w:rPr>
      </w:pPr>
      <w:r w:rsidRPr="00AF66B0">
        <w:rPr>
          <w:lang w:val="en-US"/>
        </w:rPr>
        <w:t>Sufficient explanation of alternative requirements, if applicable, for admission into a graduate, second-entry or undergraduate program, e.g., minimum grade point average, additional languages or portfolios, and how the program recognizes prior work or learning experience.</w:t>
      </w:r>
    </w:p>
    <w:p w14:paraId="3E3EEFE7" w14:textId="77777777" w:rsidR="002D3600" w:rsidRPr="00AF66B0" w:rsidRDefault="002D3600" w:rsidP="002D3600">
      <w:pPr>
        <w:pStyle w:val="Heading5"/>
        <w:rPr>
          <w:lang w:val="en-US"/>
        </w:rPr>
      </w:pPr>
      <w:r>
        <w:t>5.1.3.1.6</w:t>
      </w:r>
      <w:r>
        <w:tab/>
      </w:r>
      <w:r w:rsidRPr="00B43390">
        <w:t>Resources</w:t>
      </w:r>
      <w:r w:rsidRPr="00AF66B0">
        <w:rPr>
          <w:lang w:val="en-US"/>
        </w:rPr>
        <w:t xml:space="preserve"> </w:t>
      </w:r>
    </w:p>
    <w:p w14:paraId="0F864823" w14:textId="77777777" w:rsidR="002D3600" w:rsidRPr="00AF66B0" w:rsidRDefault="002D3600" w:rsidP="002D3600">
      <w:pPr>
        <w:pStyle w:val="Body"/>
        <w:rPr>
          <w:lang w:val="en-US"/>
        </w:rPr>
      </w:pPr>
      <w:r w:rsidRPr="00AF66B0">
        <w:rPr>
          <w:lang w:val="en-US"/>
        </w:rPr>
        <w:t>Given the program’s class sizes and cohorts as well as its program-level learning outcomes:</w:t>
      </w:r>
    </w:p>
    <w:p w14:paraId="2D8A2AAD" w14:textId="77777777" w:rsidR="002D3600" w:rsidRPr="00B43390" w:rsidRDefault="002D3600" w:rsidP="00203534">
      <w:pPr>
        <w:pStyle w:val="Listletters"/>
        <w:numPr>
          <w:ilvl w:val="0"/>
          <w:numId w:val="21"/>
        </w:numPr>
        <w:rPr>
          <w:lang w:val="en-US"/>
        </w:rPr>
      </w:pPr>
      <w:r w:rsidRPr="00B43390">
        <w:rPr>
          <w:lang w:val="en-US"/>
        </w:rPr>
        <w:t>Participation of a sufficient number of qualified core faculty who are competent to teach and/or supervise in and achieve the goals of the program and foster the appropriate academic environment;</w:t>
      </w:r>
    </w:p>
    <w:p w14:paraId="2893FF06" w14:textId="77777777" w:rsidR="002D3600" w:rsidRDefault="002D3600" w:rsidP="002D3600">
      <w:pPr>
        <w:pStyle w:val="Listletters"/>
        <w:rPr>
          <w:lang w:val="en-US"/>
        </w:rPr>
      </w:pPr>
      <w:r w:rsidRPr="00AF66B0">
        <w:rPr>
          <w:lang w:val="en-US"/>
        </w:rPr>
        <w:t>If applicable, discussion/explanation of the role and approximate percentage of adjunct</w:t>
      </w:r>
      <w:r>
        <w:rPr>
          <w:lang w:val="en-US"/>
        </w:rPr>
        <w:t xml:space="preserve"> </w:t>
      </w:r>
      <w:r w:rsidRPr="00AF66B0">
        <w:rPr>
          <w:lang w:val="en-US"/>
        </w:rPr>
        <w:t xml:space="preserve">and part-time faculty/limited term appointments used in the delivery of the program and the associated plans to ensure the sustainability of the program and quality of the student experience (see </w:t>
      </w:r>
      <w:hyperlink r:id="rId17" w:history="1">
        <w:r w:rsidRPr="00AD661F">
          <w:rPr>
            <w:rStyle w:val="Hyperlink"/>
            <w:lang w:val="en-US"/>
          </w:rPr>
          <w:t>Guidance</w:t>
        </w:r>
      </w:hyperlink>
      <w:r w:rsidRPr="00AF66B0">
        <w:rPr>
          <w:lang w:val="en-US"/>
        </w:rPr>
        <w:t>);</w:t>
      </w:r>
    </w:p>
    <w:tbl>
      <w:tblPr>
        <w:tblStyle w:val="GuidanceSidebar"/>
        <w:tblW w:w="0" w:type="auto"/>
        <w:tblLook w:val="04A0" w:firstRow="1" w:lastRow="0" w:firstColumn="1" w:lastColumn="0" w:noHBand="0" w:noVBand="1"/>
      </w:tblPr>
      <w:tblGrid>
        <w:gridCol w:w="8826"/>
      </w:tblGrid>
      <w:tr w:rsidR="002D3600" w14:paraId="564DF32A" w14:textId="77777777" w:rsidTr="00996BA1">
        <w:tc>
          <w:tcPr>
            <w:tcW w:w="8826" w:type="dxa"/>
            <w:vAlign w:val="center"/>
          </w:tcPr>
          <w:p w14:paraId="50AB4A4B" w14:textId="77777777" w:rsidR="002D3600" w:rsidRPr="00305233" w:rsidRDefault="002D3600" w:rsidP="00996BA1">
            <w:pPr>
              <w:pStyle w:val="SidebarHeading"/>
            </w:pPr>
            <w:r w:rsidRPr="00277722">
              <w:rPr>
                <w:lang w:val="en-CA"/>
              </w:rPr>
              <w:t>Guidance on Sessional/Adjunct Faculty</w:t>
            </w:r>
          </w:p>
        </w:tc>
      </w:tr>
      <w:tr w:rsidR="002D3600" w14:paraId="67A1AFC8" w14:textId="77777777" w:rsidTr="00996BA1">
        <w:tc>
          <w:tcPr>
            <w:tcW w:w="8826" w:type="dxa"/>
            <w:vAlign w:val="center"/>
          </w:tcPr>
          <w:p w14:paraId="07767CE2" w14:textId="77777777" w:rsidR="002D3600" w:rsidRPr="00977508" w:rsidRDefault="002D3600" w:rsidP="00996BA1">
            <w:pPr>
              <w:pStyle w:val="Sidebar-Body"/>
              <w:rPr>
                <w:lang w:val="en-CA"/>
              </w:rPr>
            </w:pPr>
            <w:r w:rsidRPr="00277722">
              <w:rPr>
                <w:lang w:val="en-CA"/>
              </w:rPr>
              <w:t>For programs in which sessional/adjunct faculty have a large role, provide evidence of a long-term plan to ensure that a sustainable, quality program will be delivered when a large proportion of the courses are to be taught by sessional instructors/adjunct faculty. This should include a rationale for the use of a large number of sessional faculty for program delivery, how and from where sessional instructors will be</w:t>
            </w:r>
            <w:r>
              <w:rPr>
                <w:lang w:val="en-CA"/>
              </w:rPr>
              <w:t xml:space="preserve"> </w:t>
            </w:r>
            <w:r w:rsidRPr="00277722">
              <w:rPr>
                <w:lang w:val="en-CA"/>
              </w:rPr>
              <w:t>recruited, concrete plans for how a stable and consistent approach to teaching the program’s learning outcomes will be ensured, and information regarding how a consistent assessment of the students’ achievement of these learning outcomes will be maintained under these circumstances.</w:t>
            </w:r>
          </w:p>
        </w:tc>
      </w:tr>
    </w:tbl>
    <w:p w14:paraId="40E18903" w14:textId="77777777" w:rsidR="002D3600" w:rsidRPr="00AF66B0" w:rsidRDefault="002D3600" w:rsidP="002D3600">
      <w:pPr>
        <w:pStyle w:val="Listletters"/>
        <w:spacing w:before="120"/>
        <w:ind w:left="346" w:hanging="346"/>
        <w:rPr>
          <w:lang w:val="en-US"/>
        </w:rPr>
      </w:pPr>
      <w:r w:rsidRPr="00AF66B0">
        <w:rPr>
          <w:lang w:val="en-US"/>
        </w:rPr>
        <w:t>If required, provision of supervision of experiential learning opportunities;</w:t>
      </w:r>
    </w:p>
    <w:p w14:paraId="27520D83" w14:textId="77777777" w:rsidR="002D3600" w:rsidRPr="00AF66B0" w:rsidRDefault="002D3600" w:rsidP="002D3600">
      <w:pPr>
        <w:pStyle w:val="Listletters"/>
        <w:rPr>
          <w:lang w:val="en-US"/>
        </w:rPr>
      </w:pPr>
      <w:r w:rsidRPr="00AF66B0">
        <w:rPr>
          <w:lang w:val="en-US"/>
        </w:rPr>
        <w:t>Adequacy of the administrative unit’s utilization of existing human, physical and financial resources; and</w:t>
      </w:r>
    </w:p>
    <w:p w14:paraId="11DD10C4" w14:textId="77777777" w:rsidR="002D3600" w:rsidRDefault="002D3600" w:rsidP="002D3600">
      <w:pPr>
        <w:pStyle w:val="Listletters"/>
        <w:rPr>
          <w:lang w:val="en-US"/>
        </w:rPr>
      </w:pPr>
      <w:r w:rsidRPr="00AF66B0">
        <w:rPr>
          <w:lang w:val="en-US"/>
        </w:rPr>
        <w:t>Evidence that there are adequate resources to sustain the quality of</w:t>
      </w:r>
      <w:r w:rsidRPr="00AF66B0">
        <w:rPr>
          <w:b/>
          <w:i/>
          <w:lang w:val="en-US"/>
        </w:rPr>
        <w:t xml:space="preserve"> </w:t>
      </w:r>
      <w:r w:rsidRPr="00AF66B0">
        <w:rPr>
          <w:lang w:val="en-US"/>
        </w:rPr>
        <w:t>scholarship and research activities produced by students, including library support, information technology support, and laboratory access.</w:t>
      </w:r>
    </w:p>
    <w:p w14:paraId="68D8EF31" w14:textId="77777777" w:rsidR="002D3600" w:rsidRPr="00AF66B0" w:rsidRDefault="002D3600" w:rsidP="002D3600">
      <w:pPr>
        <w:pStyle w:val="Heading5"/>
      </w:pPr>
      <w:r>
        <w:t>5.1.3.1.7</w:t>
      </w:r>
      <w:r>
        <w:tab/>
      </w:r>
      <w:r w:rsidRPr="00AF66B0">
        <w:t>Resources for graduate programs only</w:t>
      </w:r>
    </w:p>
    <w:p w14:paraId="655D0949" w14:textId="77777777" w:rsidR="002D3600" w:rsidRPr="00AF66B0" w:rsidRDefault="002D3600" w:rsidP="002D3600">
      <w:pPr>
        <w:pStyle w:val="Body"/>
        <w:rPr>
          <w:lang w:val="en-US"/>
        </w:rPr>
      </w:pPr>
      <w:r w:rsidRPr="00AF66B0">
        <w:rPr>
          <w:lang w:val="en-US"/>
        </w:rPr>
        <w:t>Given the program’s class sizes and cohorts, as well as its program-level learning outcomes:</w:t>
      </w:r>
    </w:p>
    <w:p w14:paraId="3D3A113B" w14:textId="77777777" w:rsidR="002D3600" w:rsidRPr="00126251" w:rsidRDefault="002D3600" w:rsidP="00203534">
      <w:pPr>
        <w:pStyle w:val="Listletters"/>
        <w:numPr>
          <w:ilvl w:val="0"/>
          <w:numId w:val="22"/>
        </w:numPr>
      </w:pPr>
      <w:r w:rsidRPr="00126251">
        <w:t>Evidence that faculty have the recent research or professional/clinical expertise needed to foster an appropriate intellectual climate, sustain the program, and promote innovation;</w:t>
      </w:r>
    </w:p>
    <w:p w14:paraId="77B3EADC" w14:textId="77777777" w:rsidR="002D3600" w:rsidRPr="00126251" w:rsidRDefault="002D3600" w:rsidP="002D3600">
      <w:pPr>
        <w:pStyle w:val="Listletters"/>
      </w:pPr>
      <w:r w:rsidRPr="00126251">
        <w:t>Where appropriate to the program, evidence that financial assistance for students is sufficient to ensure adequate quality and numbers of students; and</w:t>
      </w:r>
    </w:p>
    <w:p w14:paraId="4C45DF60" w14:textId="77777777" w:rsidR="002D3600" w:rsidRPr="00126251" w:rsidRDefault="002D3600" w:rsidP="002D3600">
      <w:pPr>
        <w:pStyle w:val="Listletters"/>
      </w:pPr>
      <w:r w:rsidRPr="00126251">
        <w:t>Evidence of how supervisory loads are distributed, in light of qualifications and appointment status of the faculty.</w:t>
      </w:r>
    </w:p>
    <w:p w14:paraId="2F973D9E" w14:textId="77777777" w:rsidR="002D3600" w:rsidRPr="00AF66B0" w:rsidRDefault="002D3600" w:rsidP="002D3600">
      <w:pPr>
        <w:pStyle w:val="Heading5"/>
        <w:rPr>
          <w:lang w:val="en-US"/>
        </w:rPr>
      </w:pPr>
      <w:r>
        <w:rPr>
          <w:lang w:val="en-US"/>
        </w:rPr>
        <w:lastRenderedPageBreak/>
        <w:t>5.1.3.1.8</w:t>
      </w:r>
      <w:r>
        <w:rPr>
          <w:lang w:val="en-US"/>
        </w:rPr>
        <w:tab/>
      </w:r>
      <w:r w:rsidRPr="00D422A4">
        <w:t>Quality</w:t>
      </w:r>
      <w:r w:rsidRPr="00AF66B0">
        <w:rPr>
          <w:lang w:val="en-US"/>
        </w:rPr>
        <w:t xml:space="preserve"> and other indicators</w:t>
      </w:r>
    </w:p>
    <w:p w14:paraId="5823A4C6" w14:textId="77777777" w:rsidR="002D3600" w:rsidRPr="00126251" w:rsidRDefault="002D3600" w:rsidP="00203534">
      <w:pPr>
        <w:pStyle w:val="Listletters"/>
        <w:numPr>
          <w:ilvl w:val="0"/>
          <w:numId w:val="23"/>
        </w:numPr>
        <w:rPr>
          <w:lang w:val="en-US"/>
        </w:rPr>
      </w:pPr>
      <w:r w:rsidRPr="00126251">
        <w:rPr>
          <w:lang w:val="en-US"/>
        </w:rPr>
        <w:t>Evidence of the quality of the faculty (e.g., qualifications, funding, honours, awards, research, innovation and scholarly record; appropriateness of collective faculty expertise to contribute substantively to the program and commitment to student mentoring);</w:t>
      </w:r>
    </w:p>
    <w:p w14:paraId="6A75199E" w14:textId="77777777" w:rsidR="002D3600" w:rsidRPr="00AF66B0" w:rsidRDefault="002D3600" w:rsidP="002D3600">
      <w:pPr>
        <w:pStyle w:val="Listletters"/>
        <w:rPr>
          <w:lang w:val="en-US"/>
        </w:rPr>
      </w:pPr>
      <w:r w:rsidRPr="00AF66B0">
        <w:rPr>
          <w:lang w:val="en-US"/>
        </w:rPr>
        <w:t>Any other evidence that the program and faculty ensure the intellectual quality of the student experience; and</w:t>
      </w:r>
    </w:p>
    <w:p w14:paraId="2964AC80" w14:textId="77777777" w:rsidR="002D3600" w:rsidRPr="00AF66B0" w:rsidRDefault="002D3600" w:rsidP="002D3600">
      <w:pPr>
        <w:pStyle w:val="Listletters"/>
        <w:rPr>
          <w:lang w:val="en-US"/>
        </w:rPr>
      </w:pPr>
      <w:r w:rsidRPr="00AF66B0">
        <w:rPr>
          <w:lang w:val="en-US"/>
        </w:rPr>
        <w:t>For students: grade-level for admission, scholarly output, success rates in provincial and national scholarships, competitions, awards and commitment to professional and transferable skills, and times-to-completion and retention rates.</w:t>
      </w:r>
    </w:p>
    <w:p w14:paraId="163A65C5" w14:textId="77777777" w:rsidR="002D3600" w:rsidRPr="00AF66B0" w:rsidRDefault="002D3600" w:rsidP="002D3600">
      <w:pPr>
        <w:pStyle w:val="HeadingLevel2"/>
        <w:rPr>
          <w:lang w:val="en-US"/>
        </w:rPr>
      </w:pPr>
      <w:bookmarkStart w:id="22" w:name="_Toc88509241"/>
      <w:bookmarkStart w:id="23" w:name="_Toc98513201"/>
      <w:r>
        <w:rPr>
          <w:lang w:val="en-US"/>
        </w:rPr>
        <w:t>5.2</w:t>
      </w:r>
      <w:r>
        <w:rPr>
          <w:lang w:val="en-US"/>
        </w:rPr>
        <w:tab/>
      </w:r>
      <w:r w:rsidRPr="00AF66B0">
        <w:rPr>
          <w:lang w:val="en-US"/>
        </w:rPr>
        <w:t>External evaluation</w:t>
      </w:r>
      <w:bookmarkEnd w:id="22"/>
      <w:bookmarkEnd w:id="23"/>
    </w:p>
    <w:p w14:paraId="595F040B" w14:textId="77777777" w:rsidR="002D3600" w:rsidRPr="00AF66B0" w:rsidRDefault="002D3600" w:rsidP="002D3600">
      <w:pPr>
        <w:pStyle w:val="Heading3-exclTOC"/>
      </w:pPr>
      <w:bookmarkStart w:id="24" w:name="extevalextperspective"/>
      <w:r>
        <w:t>5.2.1</w:t>
      </w:r>
      <w:r>
        <w:tab/>
      </w:r>
      <w:r w:rsidRPr="00AF66B0">
        <w:t>External perspective</w:t>
      </w:r>
    </w:p>
    <w:bookmarkEnd w:id="24"/>
    <w:p w14:paraId="2D2AECCB" w14:textId="77777777" w:rsidR="002D3600" w:rsidRPr="00AF66B0" w:rsidRDefault="002D3600" w:rsidP="002D3600">
      <w:pPr>
        <w:pStyle w:val="Body"/>
        <w:rPr>
          <w:lang w:val="en-US"/>
        </w:rPr>
      </w:pPr>
      <w:r w:rsidRPr="00AF66B0">
        <w:rPr>
          <w:lang w:val="en-US"/>
        </w:rPr>
        <w:t xml:space="preserve">The IQAP will establish and describe a process for the selection and appointment of external reviewers and any others who will review the program (see </w:t>
      </w:r>
      <w:hyperlink r:id="rId18" w:history="1">
        <w:r w:rsidRPr="00AD661F">
          <w:rPr>
            <w:rStyle w:val="Hyperlink"/>
            <w:lang w:val="en-US"/>
          </w:rPr>
          <w:t>Guidance</w:t>
        </w:r>
      </w:hyperlink>
      <w:r w:rsidRPr="00AF66B0">
        <w:rPr>
          <w:lang w:val="en-US"/>
        </w:rPr>
        <w:t>), as well as the adequacy of the administrative unit’s utilization of existing human, physical and financial resources.</w:t>
      </w:r>
    </w:p>
    <w:p w14:paraId="62CAF692" w14:textId="77777777" w:rsidR="002D3600" w:rsidRPr="00AF66B0" w:rsidRDefault="002D3600" w:rsidP="002D3600">
      <w:pPr>
        <w:pStyle w:val="Body"/>
        <w:rPr>
          <w:lang w:val="en-US"/>
        </w:rPr>
      </w:pPr>
      <w:r w:rsidRPr="00AF66B0">
        <w:rPr>
          <w:lang w:val="en-US"/>
        </w:rPr>
        <w:t xml:space="preserve">There will be at least two external reviewers for the review of undergraduate and graduate programs. The university may also include an additional internal member from within the university but from outside the discipline (or interdisciplinary group) of the program under review to participate in the review process. (See </w:t>
      </w:r>
      <w:hyperlink r:id="rId19" w:history="1">
        <w:r w:rsidRPr="00FC6647">
          <w:rPr>
            <w:rStyle w:val="Hyperlink"/>
            <w:lang w:val="en-US"/>
          </w:rPr>
          <w:t>Guidance</w:t>
        </w:r>
      </w:hyperlink>
      <w:r w:rsidRPr="00AF66B0">
        <w:rPr>
          <w:lang w:val="en-US"/>
        </w:rPr>
        <w:t>)</w:t>
      </w:r>
    </w:p>
    <w:p w14:paraId="1F621C2D" w14:textId="77777777" w:rsidR="002D3600" w:rsidRPr="00AF66B0" w:rsidRDefault="002D3600" w:rsidP="002D3600">
      <w:pPr>
        <w:pStyle w:val="Body"/>
        <w:rPr>
          <w:lang w:val="en-US"/>
        </w:rPr>
      </w:pPr>
      <w:r w:rsidRPr="00AF66B0">
        <w:rPr>
          <w:lang w:val="en-US"/>
        </w:rPr>
        <w:t>External review of</w:t>
      </w:r>
      <w:r>
        <w:rPr>
          <w:lang w:val="en-US"/>
        </w:rPr>
        <w:t xml:space="preserve"> existing</w:t>
      </w:r>
      <w:r w:rsidRPr="00AF66B0">
        <w:rPr>
          <w:lang w:val="en-US"/>
        </w:rPr>
        <w:t xml:space="preserve"> programs will normally be conducted on-site, but the Provost (or delegate) may propose that the review be conducted by desk review, virtual site visit or an equivalent method if the external reviewers are satisfied that the off-site option is acceptable (see </w:t>
      </w:r>
      <w:hyperlink r:id="rId20" w:history="1">
        <w:r w:rsidRPr="00FC6647">
          <w:rPr>
            <w:rStyle w:val="Hyperlink"/>
            <w:lang w:val="en-US"/>
          </w:rPr>
          <w:t>Guidance</w:t>
        </w:r>
      </w:hyperlink>
      <w:r w:rsidRPr="00AF66B0">
        <w:rPr>
          <w:lang w:val="en-US"/>
        </w:rPr>
        <w:t>). The Provost (or delegate) will also provide a clear justification for the decision to use these alternatives.</w:t>
      </w:r>
    </w:p>
    <w:p w14:paraId="11DFBBB9" w14:textId="77777777" w:rsidR="002D3600" w:rsidRPr="00AF66B0" w:rsidRDefault="002D3600" w:rsidP="002D3600">
      <w:pPr>
        <w:pStyle w:val="Body"/>
        <w:rPr>
          <w:lang w:val="en-US"/>
        </w:rPr>
      </w:pPr>
      <w:r w:rsidRPr="00AF66B0">
        <w:rPr>
          <w:lang w:val="en-US"/>
        </w:rPr>
        <w:t xml:space="preserve">The external reviewers—normally associate or full professors, or the equivalent—will have suitable disciplinary expertise, qualifications and program management experience, and will be at arm’s length from the program under review. (See </w:t>
      </w:r>
      <w:hyperlink r:id="rId21" w:history="1">
        <w:r w:rsidRPr="00FC6647">
          <w:rPr>
            <w:rStyle w:val="Hyperlink"/>
            <w:lang w:val="en-US"/>
          </w:rPr>
          <w:t>Guidance</w:t>
        </w:r>
      </w:hyperlink>
      <w:r w:rsidRPr="00AF66B0">
        <w:rPr>
          <w:lang w:val="en-US"/>
        </w:rPr>
        <w:t xml:space="preserve"> for suggestions on the selection of Reviewers and for a definition of arm’s length.) Additional discretionary members may be assigned to the Review Committee where the IQAP so provides. Such additional members might be appropriately qualified and experienced individuals selected from industry or the professions, and/or, where consistent with the university’s own policies and practices, student members.</w:t>
      </w:r>
    </w:p>
    <w:p w14:paraId="4F3165B9" w14:textId="77777777" w:rsidR="002D3600" w:rsidRPr="00AF66B0" w:rsidRDefault="002D3600" w:rsidP="002D3600">
      <w:pPr>
        <w:pStyle w:val="Body"/>
        <w:keepNext/>
        <w:rPr>
          <w:lang w:val="en-US"/>
        </w:rPr>
      </w:pPr>
      <w:r w:rsidRPr="00AF66B0">
        <w:rPr>
          <w:lang w:val="en-US"/>
        </w:rPr>
        <w:t>The IQAP will also:</w:t>
      </w:r>
    </w:p>
    <w:p w14:paraId="351848EB" w14:textId="77777777" w:rsidR="002D3600" w:rsidRPr="00126251" w:rsidRDefault="002D3600" w:rsidP="00203534">
      <w:pPr>
        <w:pStyle w:val="Listletters"/>
        <w:numPr>
          <w:ilvl w:val="0"/>
          <w:numId w:val="24"/>
        </w:numPr>
        <w:rPr>
          <w:lang w:val="en-US"/>
        </w:rPr>
      </w:pPr>
      <w:r w:rsidRPr="00126251">
        <w:rPr>
          <w:lang w:val="en-US"/>
        </w:rPr>
        <w:t>Describe how the members of the Review Committee are selected;</w:t>
      </w:r>
    </w:p>
    <w:p w14:paraId="7FB2299F" w14:textId="77777777" w:rsidR="002D3600" w:rsidRPr="00AF66B0" w:rsidRDefault="002D3600" w:rsidP="002D3600">
      <w:pPr>
        <w:pStyle w:val="Listletters"/>
        <w:rPr>
          <w:lang w:val="en-US"/>
        </w:rPr>
      </w:pPr>
      <w:r w:rsidRPr="00AF66B0">
        <w:rPr>
          <w:lang w:val="en-US"/>
        </w:rPr>
        <w:t>Describe the steps to be taken to ensure that all members of the Review Committee will understand their role and obligations, including recognition of the university’s autonomy to determine priorities for funding, space, and faculty allocation (see below), and the confidentiality required for all aspects of the review process;</w:t>
      </w:r>
    </w:p>
    <w:p w14:paraId="70F3B930" w14:textId="77777777" w:rsidR="002D3600" w:rsidRPr="00AF66B0" w:rsidRDefault="002D3600" w:rsidP="002D3600">
      <w:pPr>
        <w:pStyle w:val="Listletters"/>
        <w:rPr>
          <w:lang w:val="en-US"/>
        </w:rPr>
      </w:pPr>
      <w:r w:rsidRPr="00AF66B0">
        <w:rPr>
          <w:lang w:val="en-US"/>
        </w:rPr>
        <w:t>Identify what information the Review Committee will receive in addition to the self-study;</w:t>
      </w:r>
    </w:p>
    <w:p w14:paraId="51144D2A" w14:textId="77777777" w:rsidR="002D3600" w:rsidRPr="00AF66B0" w:rsidRDefault="002D3600" w:rsidP="002D3600">
      <w:pPr>
        <w:pStyle w:val="Listletters"/>
        <w:rPr>
          <w:lang w:val="en-US"/>
        </w:rPr>
      </w:pPr>
      <w:r w:rsidRPr="00AF66B0">
        <w:rPr>
          <w:lang w:val="en-US"/>
        </w:rPr>
        <w:t>Describe how site visits will be conducted, including how reviewers will meet with faculty, students, staff, and senior program administrators; and</w:t>
      </w:r>
    </w:p>
    <w:p w14:paraId="12E11F4C" w14:textId="77777777" w:rsidR="002D3600" w:rsidRPr="00AF66B0" w:rsidRDefault="002D3600" w:rsidP="002D3600">
      <w:pPr>
        <w:pStyle w:val="Listletters"/>
        <w:rPr>
          <w:lang w:val="en-US"/>
        </w:rPr>
      </w:pPr>
      <w:r w:rsidRPr="00AF66B0">
        <w:rPr>
          <w:lang w:val="en-US"/>
        </w:rPr>
        <w:t>Describe, in the case of professional programs, how the views of employers and professional associations will be solicited and made available to the Review Committee.</w:t>
      </w:r>
    </w:p>
    <w:p w14:paraId="617A74AF" w14:textId="77777777" w:rsidR="002D3600" w:rsidRPr="00AF66B0" w:rsidRDefault="002D3600" w:rsidP="002D3600">
      <w:pPr>
        <w:pStyle w:val="Body"/>
        <w:rPr>
          <w:lang w:val="en-US"/>
        </w:rPr>
      </w:pPr>
      <w:r w:rsidRPr="00AF66B0">
        <w:rPr>
          <w:lang w:val="en-US"/>
        </w:rPr>
        <w:t xml:space="preserve">Where circumstances permit, the Review Committee will submit one joint report. The report(s) (see suggested </w:t>
      </w:r>
      <w:hyperlink r:id="rId22" w:history="1">
        <w:r w:rsidRPr="00F83F50">
          <w:rPr>
            <w:rStyle w:val="Hyperlink"/>
            <w:lang w:val="en-US"/>
          </w:rPr>
          <w:t>template</w:t>
        </w:r>
      </w:hyperlink>
      <w:r w:rsidRPr="00AF66B0">
        <w:rPr>
          <w:lang w:val="en-US"/>
        </w:rPr>
        <w:t>) will:</w:t>
      </w:r>
    </w:p>
    <w:p w14:paraId="31DB41C1" w14:textId="77777777" w:rsidR="002D3600" w:rsidRPr="00FC6647" w:rsidRDefault="002D3600" w:rsidP="00203534">
      <w:pPr>
        <w:pStyle w:val="Listroman"/>
        <w:numPr>
          <w:ilvl w:val="0"/>
          <w:numId w:val="30"/>
        </w:numPr>
      </w:pPr>
      <w:r w:rsidRPr="00FC6647">
        <w:lastRenderedPageBreak/>
        <w:t xml:space="preserve">Address the substance of the self-study (see </w:t>
      </w:r>
      <w:hyperlink w:anchor="SelfstudyInternalProgramPerspective" w:history="1">
        <w:r w:rsidRPr="00F542DB">
          <w:rPr>
            <w:rStyle w:val="Hyperlink"/>
          </w:rPr>
          <w:t>Section 5.1.3</w:t>
        </w:r>
      </w:hyperlink>
      <w:r w:rsidRPr="00FC6647">
        <w:t>), with particular focus on responding to the evaluation criteria detailed therein;</w:t>
      </w:r>
    </w:p>
    <w:p w14:paraId="43765D55" w14:textId="77777777" w:rsidR="002D3600" w:rsidRPr="00126251" w:rsidRDefault="002D3600" w:rsidP="002D3600">
      <w:pPr>
        <w:pStyle w:val="Listroman"/>
      </w:pPr>
      <w:r w:rsidRPr="00126251">
        <w:t>Identify and commend the program’s notably strong and creative attributes;</w:t>
      </w:r>
    </w:p>
    <w:p w14:paraId="2EE76603" w14:textId="77777777" w:rsidR="002D3600" w:rsidRPr="00126251" w:rsidRDefault="002D3600" w:rsidP="002D3600">
      <w:pPr>
        <w:pStyle w:val="Listroman"/>
      </w:pPr>
      <w:r w:rsidRPr="00126251">
        <w:t>Describe the program’s respective strengths, areas for improvement, and opportunities for enhancement;</w:t>
      </w:r>
    </w:p>
    <w:p w14:paraId="7E415CA6" w14:textId="77777777" w:rsidR="002D3600" w:rsidRPr="00126251" w:rsidRDefault="002D3600" w:rsidP="002D3600">
      <w:pPr>
        <w:pStyle w:val="Listroman"/>
      </w:pPr>
      <w:r w:rsidRPr="00126251">
        <w:t>Provide evidence of any significant innovation or creativity in the content and/or delivery of the program relative to other such programs;</w:t>
      </w:r>
    </w:p>
    <w:p w14:paraId="2C8C4B29" w14:textId="77777777" w:rsidR="002D3600" w:rsidRPr="00126251" w:rsidRDefault="002D3600" w:rsidP="002D3600">
      <w:pPr>
        <w:pStyle w:val="Listroman"/>
      </w:pPr>
      <w:r w:rsidRPr="00126251">
        <w:t>Make at least three recommendations for specific steps to be taken that will lead to the continuous improvement of the program, distinguishing between those the program can itself take and those that require external action; and</w:t>
      </w:r>
    </w:p>
    <w:p w14:paraId="1D2C2B4E" w14:textId="77777777" w:rsidR="002D3600" w:rsidRPr="00126251" w:rsidRDefault="002D3600" w:rsidP="002D3600">
      <w:pPr>
        <w:pStyle w:val="Listroman"/>
      </w:pPr>
      <w:r w:rsidRPr="00126251">
        <w:t>Identify the distinctive attributes of each discrete program documented in the self-study in those cases where a university chooses to simultaneously review more than one program / program level (for example, graduate and undergraduate), program modes, and/or programs offered at different locations.</w:t>
      </w:r>
    </w:p>
    <w:p w14:paraId="428606C8" w14:textId="77777777" w:rsidR="002D3600" w:rsidRPr="00AF66B0" w:rsidRDefault="002D3600" w:rsidP="002D3600">
      <w:pPr>
        <w:pStyle w:val="Body"/>
        <w:rPr>
          <w:lang w:val="en-US"/>
        </w:rPr>
      </w:pPr>
      <w:r w:rsidRPr="00AF66B0">
        <w:rPr>
          <w:lang w:val="en-US"/>
        </w:rPr>
        <w:t>It is important to note that, while the external reviewers’ report may include commentary on issues such as faculty complement and/or space requirements when related to the quality of the program under review, recommendations on these or any other elements that are within the purview of the university’s internal budgetary decision-making processes must be tied directly to issues of program quality or sustainability.</w:t>
      </w:r>
    </w:p>
    <w:p w14:paraId="2ABF1062" w14:textId="77777777" w:rsidR="002D3600" w:rsidRPr="00AF66B0" w:rsidRDefault="002D3600" w:rsidP="002D3600">
      <w:pPr>
        <w:pStyle w:val="Body"/>
        <w:rPr>
          <w:lang w:val="en-US"/>
        </w:rPr>
      </w:pPr>
      <w:r w:rsidRPr="00AF66B0">
        <w:rPr>
          <w:lang w:val="en-US"/>
        </w:rPr>
        <w:t>The IQAP will also:</w:t>
      </w:r>
    </w:p>
    <w:p w14:paraId="7EE43E63" w14:textId="77777777" w:rsidR="002D3600" w:rsidRPr="0021046B" w:rsidRDefault="002D3600" w:rsidP="00203534">
      <w:pPr>
        <w:pStyle w:val="Listletters"/>
        <w:numPr>
          <w:ilvl w:val="0"/>
          <w:numId w:val="26"/>
        </w:numPr>
        <w:rPr>
          <w:lang w:val="en-US"/>
        </w:rPr>
      </w:pPr>
      <w:r w:rsidRPr="0021046B">
        <w:rPr>
          <w:lang w:val="en-US"/>
        </w:rPr>
        <w:t>Identify to whom the Review Committee submits its report(s) and specify a timeframe for its submission; and</w:t>
      </w:r>
    </w:p>
    <w:p w14:paraId="153A646A" w14:textId="77777777" w:rsidR="002D3600" w:rsidRPr="00AF66B0" w:rsidRDefault="002D3600" w:rsidP="002D3600">
      <w:pPr>
        <w:pStyle w:val="Listletters"/>
        <w:rPr>
          <w:lang w:val="en-US"/>
        </w:rPr>
      </w:pPr>
      <w:r w:rsidRPr="00AF66B0">
        <w:rPr>
          <w:lang w:val="en-US"/>
        </w:rPr>
        <w:t>Include a process for dealing with external reviewers’ reports that do not meet the requirements of the IQAP.</w:t>
      </w:r>
    </w:p>
    <w:p w14:paraId="7C2AE123" w14:textId="77777777" w:rsidR="002D3600" w:rsidRPr="00AF66B0" w:rsidRDefault="002D3600" w:rsidP="002D3600">
      <w:pPr>
        <w:pStyle w:val="HeadingLevel2"/>
        <w:rPr>
          <w:lang w:val="en-US"/>
        </w:rPr>
      </w:pPr>
      <w:bookmarkStart w:id="25" w:name="_Toc88509242"/>
      <w:bookmarkStart w:id="26" w:name="_Toc98513202"/>
      <w:r>
        <w:rPr>
          <w:lang w:val="en-US"/>
        </w:rPr>
        <w:t>5.3</w:t>
      </w:r>
      <w:r>
        <w:rPr>
          <w:lang w:val="en-US"/>
        </w:rPr>
        <w:tab/>
      </w:r>
      <w:r w:rsidRPr="006123A6">
        <w:t>Internal</w:t>
      </w:r>
      <w:r w:rsidRPr="00AF66B0">
        <w:rPr>
          <w:lang w:val="en-US"/>
        </w:rPr>
        <w:t xml:space="preserve"> perspective</w:t>
      </w:r>
      <w:bookmarkEnd w:id="25"/>
      <w:bookmarkEnd w:id="26"/>
    </w:p>
    <w:p w14:paraId="140C097B" w14:textId="77777777" w:rsidR="002D3600" w:rsidRPr="0021046B" w:rsidRDefault="002D3600" w:rsidP="002D3600">
      <w:pPr>
        <w:pStyle w:val="Heading3-exclTOC"/>
      </w:pPr>
      <w:r w:rsidRPr="0021046B">
        <w:t>5.</w:t>
      </w:r>
      <w:r>
        <w:t>3</w:t>
      </w:r>
      <w:r w:rsidRPr="0021046B">
        <w:t>.1</w:t>
      </w:r>
      <w:r w:rsidRPr="0021046B">
        <w:tab/>
      </w:r>
      <w:r w:rsidRPr="002A1CB7">
        <w:t>Internal response</w:t>
      </w:r>
      <w:r w:rsidRPr="0021046B">
        <w:t xml:space="preserve"> </w:t>
      </w:r>
    </w:p>
    <w:p w14:paraId="2CD480A3" w14:textId="77777777" w:rsidR="002D3600" w:rsidRPr="00AF66B0" w:rsidRDefault="002D3600" w:rsidP="002D3600">
      <w:pPr>
        <w:pStyle w:val="Body"/>
        <w:rPr>
          <w:lang w:val="en-US"/>
        </w:rPr>
      </w:pPr>
      <w:r w:rsidRPr="00AF66B0">
        <w:rPr>
          <w:lang w:val="en-US"/>
        </w:rPr>
        <w:t xml:space="preserve">It is essential that the academic unit and the relevant Dean(s) or their designate(s)/Divisional Head make clearly separate responses to the External Review Report(s) and recommendations. The exception to this requirement for separate responses is in the case of </w:t>
      </w:r>
      <w:r>
        <w:rPr>
          <w:lang w:val="en-US"/>
        </w:rPr>
        <w:t xml:space="preserve">a </w:t>
      </w:r>
      <w:r w:rsidRPr="00AF66B0">
        <w:rPr>
          <w:lang w:val="en-US"/>
        </w:rPr>
        <w:t>single-department Faculty (or equivalent), where the Dean (or equivalent) is essentially the Divisional Head.</w:t>
      </w:r>
      <w:r>
        <w:rPr>
          <w:lang w:val="en-US"/>
        </w:rPr>
        <w:t xml:space="preserve"> </w:t>
      </w:r>
    </w:p>
    <w:p w14:paraId="6F57B598" w14:textId="77777777" w:rsidR="002D3600" w:rsidRPr="00AF66B0" w:rsidRDefault="002D3600" w:rsidP="002D3600">
      <w:pPr>
        <w:pStyle w:val="Heading3-exclTOC"/>
      </w:pPr>
      <w:bookmarkStart w:id="27" w:name="Section5x3x2FARIP"/>
      <w:bookmarkEnd w:id="27"/>
      <w:r>
        <w:t>5.3.2</w:t>
      </w:r>
      <w:r>
        <w:tab/>
      </w:r>
      <w:r w:rsidRPr="00AF66B0">
        <w:t>Final Assessment Report and Implementation Plan</w:t>
      </w:r>
    </w:p>
    <w:p w14:paraId="12DE73E5" w14:textId="77777777" w:rsidR="002D3600" w:rsidRPr="00A50787" w:rsidRDefault="002D3600" w:rsidP="00203534">
      <w:pPr>
        <w:pStyle w:val="Listletters"/>
        <w:numPr>
          <w:ilvl w:val="0"/>
          <w:numId w:val="27"/>
        </w:numPr>
        <w:rPr>
          <w:lang w:val="en-US"/>
        </w:rPr>
      </w:pPr>
      <w:r w:rsidRPr="00A50787">
        <w:rPr>
          <w:lang w:val="en-US"/>
        </w:rPr>
        <w:t>The IQAP will describe how a Final Assessment Report</w:t>
      </w:r>
      <w:r w:rsidRPr="00A50787">
        <w:rPr>
          <w:b/>
          <w:lang w:val="en-US"/>
        </w:rPr>
        <w:t xml:space="preserve"> </w:t>
      </w:r>
      <w:r w:rsidRPr="00A50787">
        <w:rPr>
          <w:lang w:val="en-US"/>
        </w:rPr>
        <w:t xml:space="preserve">(see </w:t>
      </w:r>
      <w:hyperlink r:id="rId23" w:history="1">
        <w:r w:rsidRPr="002A1CB7">
          <w:rPr>
            <w:rStyle w:val="Hyperlink"/>
            <w:lang w:val="en-US"/>
          </w:rPr>
          <w:t>Guidance</w:t>
        </w:r>
      </w:hyperlink>
      <w:r w:rsidRPr="00A50787">
        <w:rPr>
          <w:lang w:val="en-US"/>
        </w:rPr>
        <w:t>) will be drafted. The Final Assessment Report provides the institutional synthesis of the external evaluation of the program and strategies for continuous improvement, and:</w:t>
      </w:r>
      <w:r>
        <w:rPr>
          <w:lang w:val="en-US"/>
        </w:rPr>
        <w:t xml:space="preserve"> </w:t>
      </w:r>
    </w:p>
    <w:p w14:paraId="7B10CC6A" w14:textId="77777777" w:rsidR="002D3600" w:rsidRPr="002F09C0" w:rsidRDefault="002D3600" w:rsidP="002D3600">
      <w:pPr>
        <w:pStyle w:val="ListNumber2"/>
      </w:pPr>
      <w:r w:rsidRPr="002F09C0">
        <w:t xml:space="preserve">Identifies significant </w:t>
      </w:r>
      <w:r w:rsidRPr="005439F4">
        <w:t>strengths</w:t>
      </w:r>
      <w:r w:rsidRPr="002F09C0">
        <w:t xml:space="preserve"> of the program;</w:t>
      </w:r>
    </w:p>
    <w:p w14:paraId="4E7EEF80" w14:textId="77777777" w:rsidR="002D3600" w:rsidRPr="002F09C0" w:rsidRDefault="002D3600" w:rsidP="002D3600">
      <w:pPr>
        <w:pStyle w:val="ListNumber2"/>
      </w:pPr>
      <w:r w:rsidRPr="002F09C0">
        <w:t>Identifies opportunities for further program improvement and enhancement with a view towards continuous improvement;</w:t>
      </w:r>
    </w:p>
    <w:p w14:paraId="76B6D80A" w14:textId="77777777" w:rsidR="002D3600" w:rsidRPr="002F09C0" w:rsidRDefault="002D3600" w:rsidP="002D3600">
      <w:pPr>
        <w:pStyle w:val="ListNumber2"/>
      </w:pPr>
      <w:r w:rsidRPr="002F09C0">
        <w:t>Lists all recommendations of the external reviewers and the associated separate internal responses and assessments from the unit and from the Dean(s);</w:t>
      </w:r>
    </w:p>
    <w:p w14:paraId="5F8AEFF7" w14:textId="77777777" w:rsidR="002D3600" w:rsidRPr="002F09C0" w:rsidRDefault="002D3600" w:rsidP="002D3600">
      <w:pPr>
        <w:pStyle w:val="ListNumber2"/>
      </w:pPr>
      <w:r w:rsidRPr="002F09C0">
        <w:t>Explains why any external reviewers’ recommendations not selected for further action in the Implementation Plan have not been prioritized;</w:t>
      </w:r>
    </w:p>
    <w:p w14:paraId="7024CC24" w14:textId="77777777" w:rsidR="002D3600" w:rsidRPr="002F09C0" w:rsidRDefault="002D3600" w:rsidP="002D3600">
      <w:pPr>
        <w:pStyle w:val="ListNumber2"/>
      </w:pPr>
      <w:r w:rsidRPr="002F09C0">
        <w:t>Includes any additional recommendations that the unit, the Dean(s) and/or the university may have identified as requiring action as a result of the program’s review;</w:t>
      </w:r>
    </w:p>
    <w:p w14:paraId="4EB8731E" w14:textId="77777777" w:rsidR="002D3600" w:rsidRPr="002F09C0" w:rsidRDefault="002D3600" w:rsidP="002D3600">
      <w:pPr>
        <w:pStyle w:val="ListNumber2"/>
      </w:pPr>
      <w:r w:rsidRPr="002F09C0">
        <w:t>May include a confidential section (for example, where personnel issues need to be addressed); and</w:t>
      </w:r>
    </w:p>
    <w:p w14:paraId="1525316C" w14:textId="77777777" w:rsidR="002D3600" w:rsidRPr="002F09C0" w:rsidRDefault="002D3600" w:rsidP="002D3600">
      <w:pPr>
        <w:pStyle w:val="ListNumber2"/>
      </w:pPr>
      <w:r w:rsidRPr="002F09C0">
        <w:lastRenderedPageBreak/>
        <w:t>Identifies who will be responsible for approving the recommendations set out in the Final Assessment Report.</w:t>
      </w:r>
    </w:p>
    <w:p w14:paraId="4EE5C8CF" w14:textId="77777777" w:rsidR="002D3600" w:rsidRPr="00AF66B0" w:rsidRDefault="002D3600" w:rsidP="002D3600">
      <w:pPr>
        <w:pStyle w:val="Listletters"/>
        <w:rPr>
          <w:lang w:val="en-US"/>
        </w:rPr>
      </w:pPr>
      <w:r w:rsidRPr="00AF66B0">
        <w:rPr>
          <w:lang w:val="en-US"/>
        </w:rPr>
        <w:t>The Final Assessment Report must include an Executive Summary, excluding any confidential information, which is to be published on the institution’s website alongside the associated Implementation Plan.</w:t>
      </w:r>
    </w:p>
    <w:p w14:paraId="60559F77" w14:textId="77777777" w:rsidR="002D3600" w:rsidRPr="00AF66B0" w:rsidRDefault="002D3600" w:rsidP="002D3600">
      <w:pPr>
        <w:pStyle w:val="Listletters"/>
        <w:rPr>
          <w:lang w:val="en-US"/>
        </w:rPr>
      </w:pPr>
      <w:r w:rsidRPr="00AF66B0">
        <w:rPr>
          <w:lang w:val="en-US"/>
        </w:rPr>
        <w:t>The Final Assessment Report will also include an Implementation Plan that:</w:t>
      </w:r>
    </w:p>
    <w:p w14:paraId="4FD37225" w14:textId="77777777" w:rsidR="002D3600" w:rsidRPr="00EF09FD" w:rsidRDefault="002D3600" w:rsidP="00203534">
      <w:pPr>
        <w:pStyle w:val="ListNumber2"/>
        <w:numPr>
          <w:ilvl w:val="0"/>
          <w:numId w:val="32"/>
        </w:numPr>
      </w:pPr>
      <w:r w:rsidRPr="00EF09FD">
        <w:t xml:space="preserve">Sets out </w:t>
      </w:r>
      <w:r w:rsidRPr="005439F4">
        <w:t>and</w:t>
      </w:r>
      <w:r w:rsidRPr="00EF09FD">
        <w:t xml:space="preserve"> prioritizes those recommendations that are selected for implementation;</w:t>
      </w:r>
    </w:p>
    <w:p w14:paraId="7DCECE14" w14:textId="77777777" w:rsidR="002D3600" w:rsidRPr="00EF09FD" w:rsidRDefault="002D3600" w:rsidP="002D3600">
      <w:pPr>
        <w:pStyle w:val="ListNumber2"/>
      </w:pPr>
      <w:r w:rsidRPr="00EF09FD">
        <w:t>Identifies the group or individual responsible for providing resources needed to address recommendations from the external reviewers or action items identified by the university;</w:t>
      </w:r>
    </w:p>
    <w:p w14:paraId="01C4D0E7" w14:textId="77777777" w:rsidR="002D3600" w:rsidRPr="00EF09FD" w:rsidRDefault="002D3600" w:rsidP="002D3600">
      <w:pPr>
        <w:pStyle w:val="ListNumber2"/>
      </w:pPr>
      <w:r w:rsidRPr="00EF09FD">
        <w:t>Identifies who will be responsible for acting on those recommendations; and</w:t>
      </w:r>
    </w:p>
    <w:p w14:paraId="768ED64D" w14:textId="77777777" w:rsidR="002D3600" w:rsidRPr="00EF09FD" w:rsidRDefault="002D3600" w:rsidP="002D3600">
      <w:pPr>
        <w:pStyle w:val="ListNumber2"/>
      </w:pPr>
      <w:r w:rsidRPr="00EF09FD">
        <w:t xml:space="preserve">Provides </w:t>
      </w:r>
      <w:r w:rsidRPr="00AC444D">
        <w:t>specific</w:t>
      </w:r>
      <w:r w:rsidRPr="00EF09FD">
        <w:t xml:space="preserve"> timelines for acting on and monitoring the implementation of those recommendations.</w:t>
      </w:r>
    </w:p>
    <w:p w14:paraId="60C04481" w14:textId="77777777" w:rsidR="002D3600" w:rsidRPr="00AF66B0" w:rsidRDefault="002D3600" w:rsidP="002D3600">
      <w:pPr>
        <w:pStyle w:val="Heading2"/>
        <w:rPr>
          <w:lang w:val="en-US"/>
        </w:rPr>
      </w:pPr>
      <w:bookmarkStart w:id="28" w:name="_Toc88509243"/>
      <w:bookmarkStart w:id="29" w:name="_Toc98513203"/>
      <w:r>
        <w:rPr>
          <w:lang w:val="en-US"/>
        </w:rPr>
        <w:t>5.4</w:t>
      </w:r>
      <w:r>
        <w:rPr>
          <w:lang w:val="en-US"/>
        </w:rPr>
        <w:tab/>
      </w:r>
      <w:r w:rsidRPr="006123A6">
        <w:t>Reporting</w:t>
      </w:r>
      <w:r w:rsidRPr="00AF66B0">
        <w:rPr>
          <w:lang w:val="en-US"/>
        </w:rPr>
        <w:t xml:space="preserve"> Requirements</w:t>
      </w:r>
      <w:bookmarkEnd w:id="28"/>
      <w:bookmarkEnd w:id="29"/>
    </w:p>
    <w:p w14:paraId="4B10F56F" w14:textId="77777777" w:rsidR="002D3600" w:rsidRPr="00AF66B0" w:rsidRDefault="002D3600" w:rsidP="002D3600">
      <w:pPr>
        <w:pStyle w:val="Heading3-exclTOC"/>
      </w:pPr>
      <w:bookmarkStart w:id="30" w:name="Section5x4x1InternalReporting"/>
      <w:bookmarkEnd w:id="30"/>
      <w:r>
        <w:t>5.4.1</w:t>
      </w:r>
      <w:r>
        <w:tab/>
      </w:r>
      <w:r w:rsidRPr="00AF66B0">
        <w:t>Internal reporting requirements</w:t>
      </w:r>
    </w:p>
    <w:p w14:paraId="64A484BB" w14:textId="77777777" w:rsidR="002D3600" w:rsidRPr="00AF66B0" w:rsidRDefault="002D3600" w:rsidP="002D3600">
      <w:pPr>
        <w:pStyle w:val="Body"/>
        <w:rPr>
          <w:lang w:val="en-US"/>
        </w:rPr>
      </w:pPr>
      <w:r w:rsidRPr="00AF66B0">
        <w:rPr>
          <w:lang w:val="en-US"/>
        </w:rPr>
        <w:t>The IQAP will require that:</w:t>
      </w:r>
    </w:p>
    <w:p w14:paraId="1684D8DF" w14:textId="77777777" w:rsidR="002D3600" w:rsidRPr="00A50787" w:rsidRDefault="002D3600" w:rsidP="00203534">
      <w:pPr>
        <w:pStyle w:val="Listletters"/>
        <w:numPr>
          <w:ilvl w:val="0"/>
          <w:numId w:val="28"/>
        </w:numPr>
        <w:rPr>
          <w:lang w:val="en-US"/>
        </w:rPr>
      </w:pPr>
      <w:r w:rsidRPr="00A50787">
        <w:rPr>
          <w:lang w:val="en-US"/>
        </w:rPr>
        <w:t>The Final Assessment Report (excluding all confidential information) and associated Implementation Plan be distributed to Senate (or equivalent);</w:t>
      </w:r>
    </w:p>
    <w:p w14:paraId="01809BD0" w14:textId="77777777" w:rsidR="002D3600" w:rsidRPr="00AF66B0" w:rsidRDefault="002D3600" w:rsidP="002D3600">
      <w:pPr>
        <w:pStyle w:val="Listletters"/>
        <w:rPr>
          <w:lang w:val="en-US"/>
        </w:rPr>
      </w:pPr>
      <w:r w:rsidRPr="00AF66B0">
        <w:rPr>
          <w:lang w:val="en-US"/>
        </w:rPr>
        <w:t>The Executive Summary and the associated Implementation Plan be posted on the university’s website and copies provided to the university’s governing body;</w:t>
      </w:r>
    </w:p>
    <w:p w14:paraId="3DE621E6" w14:textId="77777777" w:rsidR="002D3600" w:rsidRPr="00AF66B0" w:rsidRDefault="002D3600" w:rsidP="002D3600">
      <w:pPr>
        <w:pStyle w:val="Listletters"/>
        <w:rPr>
          <w:lang w:val="en-US"/>
        </w:rPr>
      </w:pPr>
      <w:r w:rsidRPr="00AF66B0">
        <w:rPr>
          <w:lang w:val="en-US"/>
        </w:rPr>
        <w:t xml:space="preserve">The approved Final Assessment Report (excluding all confidential information, as appropriate), Executive Summary and Implementation Plan be provided to the unit to “own” and act on, as appropriate. </w:t>
      </w:r>
    </w:p>
    <w:p w14:paraId="40AF5C42" w14:textId="77777777" w:rsidR="002D3600" w:rsidRPr="00AC444D" w:rsidRDefault="002D3600" w:rsidP="00203534">
      <w:pPr>
        <w:pStyle w:val="ListNumber2"/>
        <w:numPr>
          <w:ilvl w:val="0"/>
          <w:numId w:val="34"/>
        </w:numPr>
        <w:rPr>
          <w:lang w:val="en-US"/>
        </w:rPr>
      </w:pPr>
      <w:r w:rsidRPr="00AC444D">
        <w:rPr>
          <w:lang w:val="en-US"/>
        </w:rPr>
        <w:t xml:space="preserve">It is strongly recommended that the IQAP require the unit to post the Executive Summary and Implementation Plan on the program’s website (see </w:t>
      </w:r>
      <w:hyperlink r:id="rId24" w:history="1">
        <w:r w:rsidRPr="00AC444D">
          <w:rPr>
            <w:rStyle w:val="Hyperlink"/>
            <w:lang w:val="en-US"/>
          </w:rPr>
          <w:t>Guidance</w:t>
        </w:r>
      </w:hyperlink>
      <w:r w:rsidRPr="00AC444D">
        <w:rPr>
          <w:lang w:val="en-US"/>
        </w:rPr>
        <w:t>);</w:t>
      </w:r>
    </w:p>
    <w:p w14:paraId="22731DE7" w14:textId="77777777" w:rsidR="002D3600" w:rsidRPr="00A50787" w:rsidRDefault="002D3600" w:rsidP="002D3600">
      <w:pPr>
        <w:pStyle w:val="Listletters"/>
      </w:pPr>
      <w:bookmarkStart w:id="31" w:name="Section5x4x1InternalReportingD"/>
      <w:bookmarkEnd w:id="31"/>
      <w:r w:rsidRPr="00A50787">
        <w:t>There is timely monitoring of the implementation of the recommendations, and the appropriate distribution, including web postings, of the scheduled monitoring reports</w:t>
      </w:r>
      <w:r>
        <w:rPr>
          <w:rStyle w:val="FootnoteReference"/>
        </w:rPr>
        <w:footnoteReference w:id="1"/>
      </w:r>
      <w:r w:rsidRPr="00A50787">
        <w:t>; and</w:t>
      </w:r>
    </w:p>
    <w:p w14:paraId="354EFD29" w14:textId="77777777" w:rsidR="002D3600" w:rsidRPr="00A50787" w:rsidRDefault="002D3600" w:rsidP="002D3600">
      <w:pPr>
        <w:pStyle w:val="Listletters"/>
      </w:pPr>
      <w:r w:rsidRPr="00A50787">
        <w:t>The extent of public access to the following is established:</w:t>
      </w:r>
    </w:p>
    <w:p w14:paraId="3252EA5B" w14:textId="77777777" w:rsidR="002D3600" w:rsidRPr="00AC444D" w:rsidRDefault="002D3600" w:rsidP="00203534">
      <w:pPr>
        <w:pStyle w:val="ListNumber2"/>
        <w:numPr>
          <w:ilvl w:val="0"/>
          <w:numId w:val="33"/>
        </w:numPr>
        <w:rPr>
          <w:lang w:val="en-US"/>
        </w:rPr>
      </w:pPr>
      <w:r w:rsidRPr="00AC444D">
        <w:rPr>
          <w:lang w:val="en-US"/>
        </w:rPr>
        <w:t>Information made available for the self-study;</w:t>
      </w:r>
    </w:p>
    <w:p w14:paraId="31F58472" w14:textId="77777777" w:rsidR="002D3600" w:rsidRPr="00AF66B0" w:rsidRDefault="002D3600" w:rsidP="002D3600">
      <w:pPr>
        <w:pStyle w:val="ListNumber2"/>
        <w:rPr>
          <w:lang w:val="en-US"/>
        </w:rPr>
      </w:pPr>
      <w:r w:rsidRPr="00AF66B0">
        <w:rPr>
          <w:lang w:val="en-US"/>
        </w:rPr>
        <w:t>Self-study report;</w:t>
      </w:r>
    </w:p>
    <w:p w14:paraId="32E6C5A8" w14:textId="77777777" w:rsidR="002D3600" w:rsidRPr="00AF66B0" w:rsidRDefault="002D3600" w:rsidP="002D3600">
      <w:pPr>
        <w:pStyle w:val="ListNumber2"/>
        <w:rPr>
          <w:lang w:val="en-US"/>
        </w:rPr>
      </w:pPr>
      <w:r w:rsidRPr="00AF66B0">
        <w:rPr>
          <w:lang w:val="en-US"/>
        </w:rPr>
        <w:t>Report of the Review Committee; and</w:t>
      </w:r>
    </w:p>
    <w:p w14:paraId="5A39995E" w14:textId="77777777" w:rsidR="002D3600" w:rsidRPr="00AF66B0" w:rsidRDefault="002D3600" w:rsidP="002D3600">
      <w:pPr>
        <w:pStyle w:val="ListNumber2"/>
        <w:rPr>
          <w:lang w:val="en-US"/>
        </w:rPr>
      </w:pPr>
      <w:r w:rsidRPr="00AF66B0">
        <w:rPr>
          <w:lang w:val="en-US"/>
        </w:rPr>
        <w:t>Specified responses to the report of the Review Committee.</w:t>
      </w:r>
    </w:p>
    <w:p w14:paraId="6EBD9518" w14:textId="77777777" w:rsidR="002D3600" w:rsidRPr="00AF66B0" w:rsidRDefault="002D3600" w:rsidP="002D3600">
      <w:pPr>
        <w:pStyle w:val="Body"/>
        <w:rPr>
          <w:lang w:val="en-US"/>
        </w:rPr>
      </w:pPr>
      <w:r w:rsidRPr="00AF66B0">
        <w:rPr>
          <w:lang w:val="en-US"/>
        </w:rPr>
        <w:t>It is expected that the report from the Review Committee will be afforded an appropriate level of confidentiality.</w:t>
      </w:r>
    </w:p>
    <w:p w14:paraId="7A0DB3C6" w14:textId="77777777" w:rsidR="002D3600" w:rsidRPr="00AF66B0" w:rsidRDefault="002D3600" w:rsidP="002D3600">
      <w:pPr>
        <w:pStyle w:val="Heading3-exclTOC"/>
      </w:pPr>
      <w:bookmarkStart w:id="32" w:name="Section5x4x2ExternalReporting"/>
      <w:bookmarkEnd w:id="32"/>
      <w:r>
        <w:lastRenderedPageBreak/>
        <w:t>5.4.2</w:t>
      </w:r>
      <w:r>
        <w:tab/>
      </w:r>
      <w:r w:rsidRPr="00AF66B0">
        <w:t>External reporting requirements</w:t>
      </w:r>
    </w:p>
    <w:p w14:paraId="7AB6AF15" w14:textId="77777777" w:rsidR="002D3600" w:rsidRPr="00AF66B0" w:rsidRDefault="002D3600" w:rsidP="002D3600">
      <w:pPr>
        <w:pStyle w:val="Body"/>
        <w:rPr>
          <w:lang w:val="en-US"/>
        </w:rPr>
      </w:pPr>
      <w:r w:rsidRPr="00AF66B0">
        <w:rPr>
          <w:lang w:val="en-US"/>
        </w:rPr>
        <w:t>Universities are required to report on the outcomes of their Cyclical Program Review activity to the Quality Council. A university can decide to do so through one or both of the following options:</w:t>
      </w:r>
    </w:p>
    <w:p w14:paraId="4D67B815" w14:textId="77777777" w:rsidR="002D3600" w:rsidRPr="00EE1DDB" w:rsidRDefault="002D3600" w:rsidP="00203534">
      <w:pPr>
        <w:pStyle w:val="Listletters"/>
        <w:numPr>
          <w:ilvl w:val="0"/>
          <w:numId w:val="29"/>
        </w:numPr>
        <w:rPr>
          <w:lang w:val="en-US"/>
        </w:rPr>
      </w:pPr>
      <w:r w:rsidRPr="00EE1DDB">
        <w:rPr>
          <w:lang w:val="en-US"/>
        </w:rPr>
        <w:t>Submission of the approved Final Assessment Report (excluding all confidential information), Executive Summary and associated Implementation Plan for each completed Cyclical Program Review; and/or</w:t>
      </w:r>
    </w:p>
    <w:p w14:paraId="1F0DD66C" w14:textId="77777777" w:rsidR="002D3600" w:rsidRPr="00AF66B0" w:rsidRDefault="002D3600" w:rsidP="002D3600">
      <w:pPr>
        <w:pStyle w:val="Listletters"/>
        <w:rPr>
          <w:lang w:val="en-US"/>
        </w:rPr>
      </w:pPr>
      <w:r w:rsidRPr="00AF66B0">
        <w:rPr>
          <w:lang w:val="en-US"/>
        </w:rPr>
        <w:t>Submission of an annual report to the Quality Council (see below), which simply lists the past year’s completed Final Assessment Reports, Implementation Plans and monitoring reports and provides an attestation by the Provost (or delegate) that all IQAP-required Cyclical Program Review processes have been followed. The report will also include a link to the university’s web posting of the completed Executive Summaries and Implementation Plans, as well as any monitoring reports that have also been completed over the prior year.</w:t>
      </w:r>
    </w:p>
    <w:p w14:paraId="70E7AA13" w14:textId="77777777" w:rsidR="002D3600" w:rsidRPr="00AF66B0" w:rsidRDefault="002D3600" w:rsidP="002D3600">
      <w:pPr>
        <w:pStyle w:val="Body"/>
        <w:rPr>
          <w:b/>
          <w:bCs/>
          <w:lang w:val="en-US"/>
        </w:rPr>
      </w:pPr>
      <w:r w:rsidRPr="00AF66B0">
        <w:rPr>
          <w:lang w:val="en-US"/>
        </w:rPr>
        <w:t xml:space="preserve">The annual report and related Cyclical Program Review processes described in 5.4.2 b) above will occasionally be reviewed for compliance by the Quality Council. Only when members find an issue or potential area of concern will the report be discussed by the Quality Council. Should the Council then determine that a substantive issue(s) appears to exist, it may decide to initiate a Focused Audit (see </w:t>
      </w:r>
      <w:hyperlink w:anchor="_6.3_Focused_Audit" w:history="1">
        <w:r w:rsidRPr="00AF66B0">
          <w:rPr>
            <w:rStyle w:val="Hyperlink"/>
            <w:lang w:val="en-US"/>
          </w:rPr>
          <w:t>Section 6.3</w:t>
        </w:r>
      </w:hyperlink>
      <w:r w:rsidRPr="00AF66B0">
        <w:rPr>
          <w:lang w:val="en-US"/>
        </w:rPr>
        <w:t xml:space="preserve"> of the Audit Protocol and associated </w:t>
      </w:r>
      <w:hyperlink w:anchor="FocusedAudit" w:history="1">
        <w:r w:rsidRPr="007D0574">
          <w:rPr>
            <w:rStyle w:val="Hyperlink"/>
            <w:lang w:val="en-US"/>
          </w:rPr>
          <w:t>Definition</w:t>
        </w:r>
      </w:hyperlink>
      <w:r w:rsidRPr="00AF66B0">
        <w:rPr>
          <w:lang w:val="en-US"/>
        </w:rPr>
        <w:t>).</w:t>
      </w:r>
    </w:p>
    <w:p w14:paraId="027487A1" w14:textId="77777777" w:rsidR="002D3600" w:rsidRPr="00AF66B0" w:rsidRDefault="002D3600" w:rsidP="002D3600">
      <w:pPr>
        <w:pStyle w:val="Heading2"/>
        <w:rPr>
          <w:lang w:val="en-US"/>
        </w:rPr>
      </w:pPr>
      <w:bookmarkStart w:id="33" w:name="_5.5_Use_of"/>
      <w:bookmarkStart w:id="34" w:name="_Toc88509244"/>
      <w:bookmarkStart w:id="35" w:name="_Toc98513204"/>
      <w:bookmarkEnd w:id="33"/>
      <w:r>
        <w:rPr>
          <w:lang w:val="en-US"/>
        </w:rPr>
        <w:t>5.5</w:t>
      </w:r>
      <w:r>
        <w:rPr>
          <w:lang w:val="en-US"/>
        </w:rPr>
        <w:tab/>
      </w:r>
      <w:r w:rsidRPr="00AF66B0">
        <w:rPr>
          <w:lang w:val="en-US"/>
        </w:rPr>
        <w:t>Use of Accreditation and other external reviews in the Institutional Quality Assurance Process</w:t>
      </w:r>
      <w:bookmarkEnd w:id="34"/>
      <w:bookmarkEnd w:id="35"/>
      <w:r>
        <w:rPr>
          <w:lang w:val="en-US"/>
        </w:rPr>
        <w:t>es</w:t>
      </w:r>
    </w:p>
    <w:bookmarkEnd w:id="17"/>
    <w:bookmarkEnd w:id="18"/>
    <w:p w14:paraId="4B83CE2E" w14:textId="77777777" w:rsidR="002D3600" w:rsidRPr="00AF66B0" w:rsidRDefault="002D3600" w:rsidP="002D3600">
      <w:pPr>
        <w:pStyle w:val="Body"/>
        <w:rPr>
          <w:lang w:val="en-US"/>
        </w:rPr>
      </w:pPr>
      <w:r w:rsidRPr="00AF66B0">
        <w:rPr>
          <w:lang w:val="en-US"/>
        </w:rPr>
        <w:t>An accreditation review can usefully replace some of the requirements of a Cyclical Program Review. The IQAP may therefore allow for and specify the substitution or addition of some documentation or specific processes associated with the accreditation of a program, and will specify who is responsible for making this decision. Adaptations may be made for certain components of the program review process, but only when these elements are fully consistent with the requirements established in this Framework.</w:t>
      </w:r>
    </w:p>
    <w:p w14:paraId="1A899860" w14:textId="77777777" w:rsidR="002D3600" w:rsidRPr="00AF66B0" w:rsidRDefault="002D3600" w:rsidP="002D3600">
      <w:pPr>
        <w:pStyle w:val="Body"/>
        <w:rPr>
          <w:lang w:val="en-US"/>
        </w:rPr>
      </w:pPr>
      <w:r w:rsidRPr="00AF66B0">
        <w:rPr>
          <w:lang w:val="en-US"/>
        </w:rPr>
        <w:t>How a university approaches the question of whether to combine, coordinate or completely segregate the reviews depends on a number of factors, including:</w:t>
      </w:r>
    </w:p>
    <w:p w14:paraId="2BA7674E" w14:textId="77777777" w:rsidR="002D3600" w:rsidRPr="00AF66B0" w:rsidRDefault="002D3600" w:rsidP="002D3600">
      <w:pPr>
        <w:pStyle w:val="ListBullet"/>
        <w:rPr>
          <w:lang w:val="en-US"/>
        </w:rPr>
      </w:pPr>
      <w:r w:rsidRPr="00AF66B0">
        <w:rPr>
          <w:lang w:val="en-US"/>
        </w:rPr>
        <w:t>Levels and complexity of program offered (undergraduate, graduate, professional);</w:t>
      </w:r>
    </w:p>
    <w:p w14:paraId="5032D94D" w14:textId="77777777" w:rsidR="002D3600" w:rsidRPr="00AF66B0" w:rsidRDefault="002D3600" w:rsidP="002D3600">
      <w:pPr>
        <w:pStyle w:val="ListBullet"/>
        <w:rPr>
          <w:lang w:val="en-US"/>
        </w:rPr>
      </w:pPr>
      <w:r w:rsidRPr="00AF66B0">
        <w:rPr>
          <w:lang w:val="en-US"/>
        </w:rPr>
        <w:t>Review cycle;</w:t>
      </w:r>
    </w:p>
    <w:p w14:paraId="49C74121" w14:textId="77777777" w:rsidR="002D3600" w:rsidRPr="00AF66B0" w:rsidRDefault="002D3600" w:rsidP="002D3600">
      <w:pPr>
        <w:pStyle w:val="ListBullet"/>
        <w:rPr>
          <w:lang w:val="en-US"/>
        </w:rPr>
      </w:pPr>
      <w:r w:rsidRPr="00AF66B0">
        <w:rPr>
          <w:lang w:val="en-US"/>
        </w:rPr>
        <w:t>Qualifications required for reviewers;</w:t>
      </w:r>
    </w:p>
    <w:p w14:paraId="7C1A66E0" w14:textId="77777777" w:rsidR="002D3600" w:rsidRPr="00AF66B0" w:rsidRDefault="002D3600" w:rsidP="002D3600">
      <w:pPr>
        <w:pStyle w:val="ListBullet"/>
        <w:rPr>
          <w:lang w:val="en-US"/>
        </w:rPr>
      </w:pPr>
      <w:r w:rsidRPr="00AF66B0">
        <w:rPr>
          <w:lang w:val="en-US"/>
        </w:rPr>
        <w:t>Evaluation criteria; and</w:t>
      </w:r>
    </w:p>
    <w:p w14:paraId="1BE9A20D" w14:textId="77777777" w:rsidR="002D3600" w:rsidRPr="00AF66B0" w:rsidRDefault="002D3600" w:rsidP="002D3600">
      <w:pPr>
        <w:pStyle w:val="ListBullet"/>
        <w:rPr>
          <w:lang w:val="en-US"/>
        </w:rPr>
      </w:pPr>
      <w:r w:rsidRPr="00AF66B0">
        <w:rPr>
          <w:lang w:val="en-US"/>
        </w:rPr>
        <w:t>Issues currently faced by program and/or university</w:t>
      </w:r>
    </w:p>
    <w:p w14:paraId="6CFA9E2B" w14:textId="77777777" w:rsidR="002D3600" w:rsidRPr="00AF66B0" w:rsidRDefault="002D3600" w:rsidP="002D3600">
      <w:pPr>
        <w:pStyle w:val="Body"/>
        <w:rPr>
          <w:lang w:val="en-US"/>
        </w:rPr>
      </w:pPr>
      <w:r w:rsidRPr="00AF66B0">
        <w:rPr>
          <w:lang w:val="en-US"/>
        </w:rPr>
        <w:t>One common characteristic of both accreditation and quality assurance cyclical program review is the development of a self-study by the program undergoing review. However, combining a Cyclical Program Review and accreditation review can be challenging given the different purposes and evaluation criteria that apply</w:t>
      </w:r>
      <w:r w:rsidRPr="00AF66B0">
        <w:rPr>
          <w:vertAlign w:val="superscript"/>
          <w:lang w:val="en-US"/>
        </w:rPr>
        <w:footnoteReference w:id="2"/>
      </w:r>
      <w:r w:rsidRPr="00AF66B0">
        <w:rPr>
          <w:lang w:val="en-US"/>
        </w:rPr>
        <w:t xml:space="preserve">. Ultimately, while some stages of the review process may be substituted or augmented by an accreditation review, the evaluation criteria detailed in </w:t>
      </w:r>
      <w:hyperlink w:anchor="Section5x1x3x1CPREvalCrit" w:history="1">
        <w:r w:rsidRPr="00AF66B0">
          <w:rPr>
            <w:rStyle w:val="Hyperlink"/>
            <w:lang w:val="en-US"/>
          </w:rPr>
          <w:t>Section 5.1.3.1</w:t>
        </w:r>
      </w:hyperlink>
      <w:r w:rsidRPr="00AF66B0">
        <w:rPr>
          <w:lang w:val="en-US"/>
        </w:rPr>
        <w:t xml:space="preserve"> above must be addressed in the self-study and by the external reviewers and a Final </w:t>
      </w:r>
      <w:r w:rsidRPr="00AF66B0">
        <w:rPr>
          <w:lang w:val="en-US"/>
        </w:rPr>
        <w:lastRenderedPageBreak/>
        <w:t xml:space="preserve">Assessment Report, Executive Summary, Implementation Plan and subsequent monitoring reports, as detailed in </w:t>
      </w:r>
      <w:hyperlink w:anchor="Section5x3x2FARIP" w:history="1">
        <w:r w:rsidRPr="00AF66B0">
          <w:rPr>
            <w:rStyle w:val="Hyperlink"/>
            <w:lang w:val="en-US"/>
          </w:rPr>
          <w:t>Section 5.3.2</w:t>
        </w:r>
      </w:hyperlink>
      <w:r w:rsidRPr="00AF66B0">
        <w:rPr>
          <w:lang w:val="en-US"/>
        </w:rPr>
        <w:t xml:space="preserve"> and </w:t>
      </w:r>
      <w:hyperlink w:anchor="ReportingRequirements" w:history="1">
        <w:r w:rsidRPr="00AF66B0">
          <w:rPr>
            <w:rStyle w:val="Hyperlink"/>
            <w:lang w:val="en-US"/>
          </w:rPr>
          <w:t>5.4</w:t>
        </w:r>
      </w:hyperlink>
      <w:r w:rsidRPr="00AF66B0">
        <w:rPr>
          <w:lang w:val="en-US"/>
        </w:rPr>
        <w:t>, must be produced and approved for all programs.</w:t>
      </w:r>
    </w:p>
    <w:p w14:paraId="6592C278" w14:textId="77777777" w:rsidR="002D3600" w:rsidRPr="00AF66B0" w:rsidRDefault="002D3600" w:rsidP="002D3600">
      <w:pPr>
        <w:pStyle w:val="Body"/>
        <w:rPr>
          <w:lang w:val="en-US"/>
        </w:rPr>
      </w:pPr>
      <w:r w:rsidRPr="00AF66B0">
        <w:rPr>
          <w:lang w:val="en-US"/>
        </w:rPr>
        <w:t>A Record of Substitution or Addition, and the grounds on which decisions were made, is eligible for Cyclical Audit.</w:t>
      </w:r>
    </w:p>
    <w:p w14:paraId="4A3B5055" w14:textId="77777777" w:rsidR="002D3600" w:rsidRPr="00AF66B0" w:rsidRDefault="002D3600" w:rsidP="002D3600">
      <w:pPr>
        <w:pStyle w:val="Heading2"/>
        <w:rPr>
          <w:lang w:val="en-US"/>
        </w:rPr>
      </w:pPr>
      <w:bookmarkStart w:id="36" w:name="_Toc88509245"/>
      <w:bookmarkStart w:id="37" w:name="_Toc98513205"/>
      <w:r>
        <w:rPr>
          <w:lang w:val="en-US"/>
        </w:rPr>
        <w:t>5.6</w:t>
      </w:r>
      <w:r>
        <w:rPr>
          <w:lang w:val="en-US"/>
        </w:rPr>
        <w:tab/>
      </w:r>
      <w:r w:rsidRPr="00AF66B0">
        <w:rPr>
          <w:lang w:val="en-US"/>
        </w:rPr>
        <w:t xml:space="preserve">Selection for </w:t>
      </w:r>
      <w:r w:rsidRPr="00BA5E4F">
        <w:t>Cyclical</w:t>
      </w:r>
      <w:r w:rsidRPr="00AF66B0">
        <w:rPr>
          <w:lang w:val="en-US"/>
        </w:rPr>
        <w:t xml:space="preserve"> Audit</w:t>
      </w:r>
      <w:bookmarkEnd w:id="36"/>
      <w:bookmarkEnd w:id="37"/>
    </w:p>
    <w:p w14:paraId="6085A571" w14:textId="77777777" w:rsidR="002D3600" w:rsidRPr="003E0B4B" w:rsidRDefault="002D3600" w:rsidP="002D3600">
      <w:pPr>
        <w:pStyle w:val="Body"/>
      </w:pPr>
      <w:r w:rsidRPr="00AF66B0">
        <w:rPr>
          <w:lang w:val="en-US"/>
        </w:rPr>
        <w:t xml:space="preserve">The Cyclical Review of undergraduate and/or graduate programs that were undertaken within the period since the conduct of the previous Audit are eligible for selection for the university’s next Cyclical Audit (see </w:t>
      </w:r>
      <w:hyperlink w:anchor="ProtocolAudit" w:history="1">
        <w:r w:rsidRPr="00AF66B0">
          <w:rPr>
            <w:rStyle w:val="Hyperlink"/>
            <w:lang w:val="en-US"/>
          </w:rPr>
          <w:t>Audit Protocol</w:t>
        </w:r>
      </w:hyperlink>
      <w:r w:rsidRPr="00AF66B0">
        <w:rPr>
          <w:lang w:val="en-US"/>
        </w:rPr>
        <w:t>).</w:t>
      </w:r>
    </w:p>
    <w:p w14:paraId="6C31D124" w14:textId="6318E07E" w:rsidR="00AE27B4" w:rsidRPr="00AE27B4" w:rsidRDefault="00AE27B4" w:rsidP="002D3600">
      <w:pPr>
        <w:pStyle w:val="Heading1"/>
        <w:keepLines w:val="0"/>
        <w:spacing w:before="0" w:after="400" w:line="240" w:lineRule="auto"/>
        <w:ind w:left="460" w:hanging="460"/>
      </w:pPr>
      <w:bookmarkStart w:id="38" w:name="_Toc242521520"/>
      <w:bookmarkStart w:id="39" w:name="_Toc242521796"/>
      <w:bookmarkStart w:id="40" w:name="_Toc242522261"/>
      <w:bookmarkStart w:id="41" w:name="_Toc242522306"/>
      <w:bookmarkStart w:id="42" w:name="_Toc242522382"/>
      <w:bookmarkStart w:id="43" w:name="_Toc242522558"/>
      <w:bookmarkStart w:id="44" w:name="_Toc242522621"/>
      <w:bookmarkStart w:id="45" w:name="_Toc242522682"/>
      <w:bookmarkStart w:id="46" w:name="_Toc242522852"/>
      <w:bookmarkStart w:id="47" w:name="_Toc242522905"/>
      <w:bookmarkStart w:id="48" w:name="_Toc242522943"/>
      <w:bookmarkStart w:id="49" w:name="_Toc242584077"/>
      <w:bookmarkStart w:id="50" w:name="_Toc242595971"/>
      <w:bookmarkStart w:id="51" w:name="_Toc243898279"/>
      <w:bookmarkStart w:id="52" w:name="_Toc243899197"/>
      <w:bookmarkStart w:id="53" w:name="_Toc243899399"/>
      <w:bookmarkStart w:id="54" w:name="_Toc251765258"/>
      <w:bookmarkStart w:id="55" w:name="_Toc251768206"/>
      <w:bookmarkStart w:id="56" w:name="_Toc251768267"/>
      <w:bookmarkStart w:id="57" w:name="_Toc251768312"/>
      <w:bookmarkStart w:id="58" w:name="_Toc251768377"/>
      <w:bookmarkStart w:id="59" w:name="_Toc251768602"/>
      <w:bookmarkStart w:id="60" w:name="_Toc251828259"/>
      <w:bookmarkStart w:id="61" w:name="_Toc251828367"/>
      <w:bookmarkStart w:id="62" w:name="_Toc252448829"/>
      <w:bookmarkStart w:id="63" w:name="_Toc252449657"/>
      <w:bookmarkStart w:id="64" w:name="_Toc252451007"/>
      <w:bookmarkStart w:id="65" w:name="_Toc252451057"/>
      <w:bookmarkStart w:id="66" w:name="_Toc252451334"/>
      <w:bookmarkStart w:id="67" w:name="_Toc252451822"/>
      <w:bookmarkStart w:id="68" w:name="_Toc252451940"/>
      <w:bookmarkStart w:id="69" w:name="_Toc252453103"/>
      <w:bookmarkStart w:id="70" w:name="_Toc252463378"/>
      <w:bookmarkStart w:id="71" w:name="_Toc252529317"/>
      <w:bookmarkStart w:id="72" w:name="_Toc252533076"/>
      <w:bookmarkStart w:id="73" w:name="_Toc252533182"/>
      <w:bookmarkStart w:id="74" w:name="_Toc252533322"/>
      <w:bookmarkStart w:id="75" w:name="_Toc252533373"/>
      <w:bookmarkStart w:id="76" w:name="_Toc252533696"/>
      <w:bookmarkStart w:id="77" w:name="_Toc252534683"/>
      <w:bookmarkStart w:id="78" w:name="_Toc252534809"/>
      <w:bookmarkStart w:id="79" w:name="_Toc252534866"/>
      <w:bookmarkStart w:id="80" w:name="_Toc252535082"/>
      <w:bookmarkStart w:id="81" w:name="_Toc252535489"/>
      <w:bookmarkStart w:id="82" w:name="_Toc252535560"/>
      <w:bookmarkStart w:id="83" w:name="_Toc252535752"/>
      <w:bookmarkStart w:id="84" w:name="_Toc252535803"/>
      <w:bookmarkStart w:id="85" w:name="_Toc252535854"/>
      <w:bookmarkStart w:id="86" w:name="_Toc252535912"/>
      <w:bookmarkStart w:id="87" w:name="_Toc252535962"/>
      <w:bookmarkStart w:id="88" w:name="_Toc252536787"/>
      <w:bookmarkStart w:id="89" w:name="_Toc252536964"/>
      <w:bookmarkStart w:id="90" w:name="_Toc252537403"/>
      <w:bookmarkStart w:id="91" w:name="_Toc252542448"/>
      <w:bookmarkStart w:id="92" w:name="_Toc252542499"/>
      <w:bookmarkStart w:id="93" w:name="_Toc252543305"/>
      <w:bookmarkStart w:id="94" w:name="_Toc252543355"/>
      <w:bookmarkStart w:id="95" w:name="_Toc252543410"/>
      <w:bookmarkStart w:id="96" w:name="_Toc254082980"/>
      <w:bookmarkStart w:id="97" w:name="_Toc258333944"/>
      <w:bookmarkStart w:id="98" w:name="_Toc258334191"/>
      <w:bookmarkStart w:id="99" w:name="_Toc258335414"/>
      <w:bookmarkStart w:id="100" w:name="_Toc251765259"/>
      <w:bookmarkStart w:id="101" w:name="_Toc251768207"/>
      <w:bookmarkStart w:id="102" w:name="_Toc251768268"/>
      <w:bookmarkStart w:id="103" w:name="_Toc251768313"/>
      <w:bookmarkStart w:id="104" w:name="_Toc251768378"/>
      <w:bookmarkStart w:id="105" w:name="_Toc251768603"/>
      <w:bookmarkStart w:id="106" w:name="_Toc251828260"/>
      <w:bookmarkStart w:id="107" w:name="_Toc251828368"/>
      <w:bookmarkStart w:id="108" w:name="_Toc252448830"/>
      <w:bookmarkStart w:id="109" w:name="_Toc252449658"/>
      <w:bookmarkStart w:id="110" w:name="_Toc252451008"/>
      <w:bookmarkStart w:id="111" w:name="_Toc252451058"/>
      <w:bookmarkStart w:id="112" w:name="_Toc252451335"/>
      <w:bookmarkStart w:id="113" w:name="_Toc252451823"/>
      <w:bookmarkStart w:id="114" w:name="_Toc252451941"/>
      <w:bookmarkStart w:id="115" w:name="_Toc252453104"/>
      <w:bookmarkStart w:id="116" w:name="_Toc252463379"/>
      <w:bookmarkStart w:id="117" w:name="_Toc252529318"/>
      <w:bookmarkStart w:id="118" w:name="_Toc252533077"/>
      <w:bookmarkStart w:id="119" w:name="_Toc252533183"/>
      <w:bookmarkStart w:id="120" w:name="_Toc252533323"/>
      <w:bookmarkStart w:id="121" w:name="_Toc252533374"/>
      <w:bookmarkStart w:id="122" w:name="_Toc252533697"/>
      <w:bookmarkStart w:id="123" w:name="_Toc252534684"/>
      <w:bookmarkStart w:id="124" w:name="_Toc252534810"/>
      <w:bookmarkStart w:id="125" w:name="_Toc252534867"/>
      <w:bookmarkStart w:id="126" w:name="_Toc252535083"/>
      <w:bookmarkStart w:id="127" w:name="_Toc252535490"/>
      <w:bookmarkStart w:id="128" w:name="_Toc252535561"/>
      <w:bookmarkStart w:id="129" w:name="_Toc252535753"/>
      <w:bookmarkStart w:id="130" w:name="_Toc252535804"/>
      <w:bookmarkStart w:id="131" w:name="_Toc252535855"/>
      <w:bookmarkStart w:id="132" w:name="_Toc252535913"/>
      <w:bookmarkStart w:id="133" w:name="_Toc252535963"/>
      <w:bookmarkStart w:id="134" w:name="_Toc252536788"/>
      <w:bookmarkStart w:id="135" w:name="_Toc252536965"/>
      <w:bookmarkStart w:id="136" w:name="_Toc252537404"/>
      <w:bookmarkStart w:id="137" w:name="_Toc252542449"/>
      <w:bookmarkStart w:id="138" w:name="_Toc252542500"/>
      <w:bookmarkStart w:id="139" w:name="_Toc252543306"/>
      <w:bookmarkStart w:id="140" w:name="_Toc252543356"/>
      <w:bookmarkStart w:id="141" w:name="_Toc252543411"/>
      <w:bookmarkStart w:id="142" w:name="_Toc254082981"/>
      <w:bookmarkStart w:id="143" w:name="_Toc258333945"/>
      <w:bookmarkStart w:id="144" w:name="_Toc258334192"/>
      <w:bookmarkStart w:id="145" w:name="_Toc258335415"/>
      <w:bookmarkStart w:id="146" w:name="_Toc242261410"/>
      <w:bookmarkStart w:id="147" w:name="Authority421"/>
      <w:bookmarkStart w:id="148" w:name="Authority421b"/>
      <w:bookmarkStart w:id="149" w:name="SelfstudyInternalProgramPerspective"/>
      <w:bookmarkStart w:id="150" w:name="_Self-study:_Internal_program"/>
      <w:bookmarkStart w:id="151" w:name="ExternalEvaluationExternalPerspective"/>
      <w:bookmarkStart w:id="152" w:name="_External_evaluation:_External"/>
      <w:bookmarkStart w:id="153" w:name="InstitutionalPerspectiveandReport"/>
      <w:bookmarkStart w:id="154" w:name="InstitutionalPerspectiveandReport425b"/>
      <w:bookmarkStart w:id="155" w:name="FinalAssessmentReport"/>
      <w:bookmarkStart w:id="156" w:name="InstitutionalPerspectiveandReport425b5"/>
      <w:bookmarkStart w:id="157" w:name="InstitutionalPerspectiveandReport425c"/>
      <w:bookmarkStart w:id="158" w:name="ReportingRequirements"/>
      <w:bookmarkStart w:id="159" w:name="InstitutionalManual428"/>
      <w:bookmarkStart w:id="160" w:name="EvaluationCriteria43"/>
      <w:bookmarkStart w:id="161" w:name="_Evaluation_criteria"/>
      <w:bookmarkStart w:id="162" w:name="_Toc242517282"/>
      <w:bookmarkStart w:id="163" w:name="_Toc242517358"/>
      <w:bookmarkStart w:id="164" w:name="_Toc242517293"/>
      <w:bookmarkStart w:id="165" w:name="_Toc242517369"/>
      <w:bookmarkStart w:id="166" w:name="_Toc242517439"/>
      <w:bookmarkStart w:id="167" w:name="_Toc242517636"/>
      <w:bookmarkStart w:id="168" w:name="_Toc242517693"/>
      <w:bookmarkStart w:id="169" w:name="_Toc242517965"/>
      <w:bookmarkStart w:id="170" w:name="_Toc242519266"/>
      <w:bookmarkStart w:id="171" w:name="_Toc242519365"/>
      <w:bookmarkStart w:id="172" w:name="_Toc242519707"/>
      <w:bookmarkStart w:id="173" w:name="_Toc242521158"/>
      <w:bookmarkStart w:id="174" w:name="_Toc242521524"/>
      <w:bookmarkStart w:id="175" w:name="_Quality_indicators"/>
      <w:bookmarkStart w:id="176" w:name="_Additional_graduate_program"/>
      <w:bookmarkEnd w:id="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sectPr w:rsidR="00AE27B4" w:rsidRPr="00AE27B4">
      <w:head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8E453" w14:textId="77777777" w:rsidR="00376803" w:rsidRDefault="00376803" w:rsidP="00263875">
      <w:pPr>
        <w:spacing w:after="0"/>
      </w:pPr>
      <w:r>
        <w:separator/>
      </w:r>
    </w:p>
    <w:p w14:paraId="519C2D93" w14:textId="77777777" w:rsidR="00376803" w:rsidRDefault="00376803"/>
  </w:endnote>
  <w:endnote w:type="continuationSeparator" w:id="0">
    <w:p w14:paraId="1B47886F" w14:textId="77777777" w:rsidR="00376803" w:rsidRDefault="00376803" w:rsidP="00263875">
      <w:pPr>
        <w:spacing w:after="0"/>
      </w:pPr>
      <w:r>
        <w:continuationSeparator/>
      </w:r>
    </w:p>
    <w:p w14:paraId="2249D5C7" w14:textId="77777777" w:rsidR="00376803" w:rsidRDefault="003768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w:altName w:val="Calibri"/>
    <w:charset w:val="4D"/>
    <w:family w:val="auto"/>
    <w:pitch w:val="variable"/>
    <w:sig w:usb0="2000020F" w:usb1="00000003" w:usb2="00000000" w:usb3="00000000" w:csb0="00000197" w:csb1="00000000"/>
  </w:font>
  <w:font w:name="Times New Roman (Body CS)">
    <w:altName w:val="Times New Roman"/>
    <w:charset w:val="00"/>
    <w:family w:val="roman"/>
    <w:pitch w:val="default"/>
  </w:font>
  <w:font w:name="Montserrat Medium">
    <w:altName w:val="Calibri"/>
    <w:charset w:val="4D"/>
    <w:family w:val="auto"/>
    <w:pitch w:val="variable"/>
    <w:sig w:usb0="2000020F" w:usb1="00000003" w:usb2="00000000" w:usb3="00000000" w:csb0="00000197" w:csb1="00000000"/>
  </w:font>
  <w:font w:name="Times New Roman (Headings CS)">
    <w:altName w:val="Times New Roman"/>
    <w:charset w:val="00"/>
    <w:family w:val="roman"/>
    <w:pitch w:val="default"/>
  </w:font>
  <w:font w:name="Montserrat SemiBold">
    <w:altName w:val="Calibri"/>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EAF76" w14:textId="77777777" w:rsidR="00C31714" w:rsidRDefault="00C31714" w:rsidP="006C142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67995" w14:textId="77777777" w:rsidR="00376803" w:rsidRDefault="00376803" w:rsidP="00263875">
      <w:pPr>
        <w:spacing w:after="0"/>
      </w:pPr>
      <w:r>
        <w:separator/>
      </w:r>
    </w:p>
    <w:p w14:paraId="2B63018D" w14:textId="77777777" w:rsidR="00376803" w:rsidRDefault="00376803"/>
  </w:footnote>
  <w:footnote w:type="continuationSeparator" w:id="0">
    <w:p w14:paraId="67D79E5B" w14:textId="77777777" w:rsidR="00376803" w:rsidRDefault="00376803" w:rsidP="00263875">
      <w:pPr>
        <w:spacing w:after="0"/>
      </w:pPr>
      <w:r>
        <w:continuationSeparator/>
      </w:r>
    </w:p>
    <w:p w14:paraId="55E2F002" w14:textId="77777777" w:rsidR="00376803" w:rsidRDefault="00376803"/>
  </w:footnote>
  <w:footnote w:id="1">
    <w:p w14:paraId="1B290EE1" w14:textId="77777777" w:rsidR="002D3600" w:rsidRDefault="002D3600" w:rsidP="002D3600">
      <w:pPr>
        <w:pStyle w:val="FootnoteText"/>
      </w:pPr>
      <w:r>
        <w:rPr>
          <w:rStyle w:val="FootnoteReference"/>
        </w:rPr>
        <w:footnoteRef/>
      </w:r>
      <w:r>
        <w:t xml:space="preserve"> </w:t>
      </w:r>
      <w:r w:rsidRPr="00611F8F">
        <w:t>Sensitive information, such as information related to personnel and other details, may be documented in a separate addendum to the Monitoring Report. This addendum is not subject to publication on the university’s website. The full Monitoring Report, including the addendum, must be distributed to the program and to other internal stakeholders, as appropriate. The Monitoring Report, absent the addendum where one has been produced, must be posted and publicly accessible on the university’s website.</w:t>
      </w:r>
    </w:p>
  </w:footnote>
  <w:footnote w:id="2">
    <w:p w14:paraId="112C9632" w14:textId="77777777" w:rsidR="002D3600" w:rsidRPr="00A90579" w:rsidRDefault="002D3600" w:rsidP="002D3600">
      <w:pPr>
        <w:pStyle w:val="FootnoteText"/>
      </w:pPr>
      <w:r w:rsidRPr="00346071">
        <w:rPr>
          <w:rStyle w:val="FootnoteReference"/>
        </w:rPr>
        <w:footnoteRef/>
      </w:r>
      <w:r w:rsidRPr="00346071">
        <w:t xml:space="preserve"> </w:t>
      </w:r>
      <w:r w:rsidRPr="00A90579">
        <w:rPr>
          <w:lang w:eastAsia="en-CA"/>
        </w:rPr>
        <w:t>A recent UNESCO glossary of basic terms and definitions for quality assurance and accreditation describes accreditation as a process by which a program or institution is evaluated to determine if it meets certain pre-determined minimal criteria or standards. In contrast, quality assurance processes are described as on-going and continuous evaluation for the purpose of quality improvement. Quality assurance processes include assessing, monitoring, guaranteeing, maintaining and improving (</w:t>
      </w:r>
      <w:hyperlink r:id="rId1" w:history="1">
        <w:r>
          <w:rPr>
            <w:rStyle w:val="Hyperlink"/>
            <w:rFonts w:cs="Arial"/>
            <w:szCs w:val="16"/>
            <w:lang w:eastAsia="en-CA"/>
          </w:rPr>
          <w:t>https://unesdoc.unesco.org/ark:/48223/pf0000134621</w:t>
        </w:r>
      </w:hyperlink>
      <w:r w:rsidRPr="00A90579">
        <w:rPr>
          <w:lang w:eastAsia="en-C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2FCE8" w14:textId="77777777" w:rsidR="001D21F0" w:rsidRDefault="001D21F0" w:rsidP="001D21F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60DF2" w14:textId="05C4F243" w:rsidR="001D21F0" w:rsidRPr="001D21F0" w:rsidRDefault="001D21F0" w:rsidP="001D21F0">
    <w:pPr>
      <w:pStyle w:val="Heading2"/>
      <w:jc w:val="right"/>
      <w:rPr>
        <w:sz w:val="22"/>
      </w:rPr>
    </w:pPr>
    <w:r w:rsidRPr="001D21F0">
      <w:rPr>
        <w:sz w:val="22"/>
      </w:rPr>
      <w:t>Appendix 1: 20</w:t>
    </w:r>
    <w:r w:rsidR="006E7BA7">
      <w:rPr>
        <w:sz w:val="22"/>
      </w:rPr>
      <w:t>21</w:t>
    </w:r>
    <w:r w:rsidRPr="001D21F0">
      <w:rPr>
        <w:sz w:val="22"/>
      </w:rPr>
      <w:t xml:space="preserve"> QAF</w:t>
    </w:r>
  </w:p>
  <w:p w14:paraId="0E81CBBE" w14:textId="77777777" w:rsidR="001D21F0" w:rsidRDefault="001D21F0" w:rsidP="001D21F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6507732"/>
    <w:lvl w:ilvl="0">
      <w:start w:val="1"/>
      <w:numFmt w:val="decimal"/>
      <w:pStyle w:val="ListNumber2"/>
      <w:lvlText w:val="%1."/>
      <w:lvlJc w:val="left"/>
      <w:pPr>
        <w:tabs>
          <w:tab w:val="num" w:pos="700"/>
        </w:tabs>
        <w:ind w:left="700" w:hanging="360"/>
      </w:pPr>
      <w:rPr>
        <w:rFonts w:hint="default"/>
      </w:rPr>
    </w:lvl>
  </w:abstractNum>
  <w:abstractNum w:abstractNumId="1" w15:restartNumberingAfterBreak="0">
    <w:nsid w:val="FFFFFF89"/>
    <w:multiLevelType w:val="singleLevel"/>
    <w:tmpl w:val="06EAB166"/>
    <w:lvl w:ilvl="0">
      <w:start w:val="1"/>
      <w:numFmt w:val="bullet"/>
      <w:pStyle w:val="ListBullet"/>
      <w:lvlText w:val=""/>
      <w:lvlJc w:val="left"/>
      <w:pPr>
        <w:tabs>
          <w:tab w:val="num" w:pos="340"/>
        </w:tabs>
        <w:ind w:left="340" w:hanging="340"/>
      </w:pPr>
      <w:rPr>
        <w:rFonts w:ascii="Symbol" w:hAnsi="Symbol" w:hint="default"/>
        <w:color w:val="000000" w:themeColor="text1"/>
        <w:sz w:val="16"/>
      </w:rPr>
    </w:lvl>
  </w:abstractNum>
  <w:abstractNum w:abstractNumId="2" w15:restartNumberingAfterBreak="0">
    <w:nsid w:val="047A7DBA"/>
    <w:multiLevelType w:val="multilevel"/>
    <w:tmpl w:val="C11E4BCA"/>
    <w:lvl w:ilvl="0">
      <w:start w:val="1"/>
      <w:numFmt w:val="bullet"/>
      <w:pStyle w:val="ListParagraph"/>
      <w:lvlText w:val=""/>
      <w:lvlJc w:val="left"/>
      <w:pPr>
        <w:ind w:left="720" w:hanging="360"/>
      </w:pPr>
      <w:rPr>
        <w:rFonts w:ascii="Symbol" w:hAnsi="Symbol" w:hint="default"/>
        <w:color w:val="0066FF"/>
      </w:rPr>
    </w:lvl>
    <w:lvl w:ilvl="1">
      <w:start w:val="1"/>
      <w:numFmt w:val="bullet"/>
      <w:lvlText w:val="o"/>
      <w:lvlJc w:val="left"/>
      <w:pPr>
        <w:ind w:left="1440" w:hanging="360"/>
      </w:pPr>
      <w:rPr>
        <w:rFonts w:ascii="Courier New" w:hAnsi="Courier New" w:hint="default"/>
        <w:color w:val="0066FF"/>
      </w:rPr>
    </w:lvl>
    <w:lvl w:ilvl="2">
      <w:start w:val="1"/>
      <w:numFmt w:val="bullet"/>
      <w:lvlText w:val=""/>
      <w:lvlJc w:val="left"/>
      <w:pPr>
        <w:ind w:left="2160" w:hanging="360"/>
      </w:pPr>
      <w:rPr>
        <w:rFonts w:ascii="Wingdings" w:hAnsi="Wingdings" w:hint="default"/>
        <w:color w:val="0066FF"/>
      </w:rPr>
    </w:lvl>
    <w:lvl w:ilvl="3">
      <w:start w:val="1"/>
      <w:numFmt w:val="bullet"/>
      <w:lvlText w:val=""/>
      <w:lvlJc w:val="left"/>
      <w:pPr>
        <w:ind w:left="2880" w:hanging="360"/>
      </w:pPr>
      <w:rPr>
        <w:rFonts w:ascii="Symbol" w:hAnsi="Symbol" w:hint="default"/>
        <w:color w:val="0066FF"/>
      </w:rPr>
    </w:lvl>
    <w:lvl w:ilvl="4">
      <w:start w:val="1"/>
      <w:numFmt w:val="bullet"/>
      <w:lvlText w:val="o"/>
      <w:lvlJc w:val="left"/>
      <w:pPr>
        <w:ind w:left="3600" w:hanging="360"/>
      </w:pPr>
      <w:rPr>
        <w:rFonts w:ascii="Courier New" w:hAnsi="Courier New" w:hint="default"/>
        <w:color w:val="0066FF"/>
      </w:rPr>
    </w:lvl>
    <w:lvl w:ilvl="5">
      <w:start w:val="1"/>
      <w:numFmt w:val="bullet"/>
      <w:lvlText w:val=""/>
      <w:lvlJc w:val="left"/>
      <w:pPr>
        <w:ind w:left="4320" w:hanging="360"/>
      </w:pPr>
      <w:rPr>
        <w:rFonts w:ascii="Wingdings" w:hAnsi="Wingdings" w:hint="default"/>
        <w:color w:val="0066FF"/>
      </w:rPr>
    </w:lvl>
    <w:lvl w:ilvl="6">
      <w:start w:val="1"/>
      <w:numFmt w:val="bullet"/>
      <w:lvlText w:val=""/>
      <w:lvlJc w:val="left"/>
      <w:pPr>
        <w:ind w:left="5040" w:hanging="360"/>
      </w:pPr>
      <w:rPr>
        <w:rFonts w:ascii="Symbol" w:hAnsi="Symbol" w:hint="default"/>
        <w:color w:val="0066FF"/>
      </w:rPr>
    </w:lvl>
    <w:lvl w:ilvl="7">
      <w:start w:val="1"/>
      <w:numFmt w:val="bullet"/>
      <w:lvlText w:val="o"/>
      <w:lvlJc w:val="left"/>
      <w:pPr>
        <w:ind w:left="5760" w:hanging="360"/>
      </w:pPr>
      <w:rPr>
        <w:rFonts w:ascii="Courier New" w:hAnsi="Courier New" w:hint="default"/>
        <w:color w:val="0066FF"/>
      </w:rPr>
    </w:lvl>
    <w:lvl w:ilvl="8">
      <w:start w:val="1"/>
      <w:numFmt w:val="bullet"/>
      <w:lvlText w:val=""/>
      <w:lvlJc w:val="left"/>
      <w:pPr>
        <w:ind w:left="6480" w:hanging="360"/>
      </w:pPr>
      <w:rPr>
        <w:rFonts w:ascii="Wingdings" w:hAnsi="Wingdings" w:hint="default"/>
        <w:color w:val="0066FF"/>
      </w:rPr>
    </w:lvl>
  </w:abstractNum>
  <w:abstractNum w:abstractNumId="3" w15:restartNumberingAfterBreak="0">
    <w:nsid w:val="051A56FB"/>
    <w:multiLevelType w:val="hybridMultilevel"/>
    <w:tmpl w:val="3A3451A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C663CF"/>
    <w:multiLevelType w:val="hybridMultilevel"/>
    <w:tmpl w:val="7B0628CA"/>
    <w:lvl w:ilvl="0" w:tplc="0409000F">
      <w:start w:val="1"/>
      <w:numFmt w:val="decimal"/>
      <w:pStyle w:val="3Head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A974D7"/>
    <w:multiLevelType w:val="hybridMultilevel"/>
    <w:tmpl w:val="6BCC04B8"/>
    <w:lvl w:ilvl="0" w:tplc="82602AE8">
      <w:start w:val="2"/>
      <w:numFmt w:val="upperLetter"/>
      <w:lvlText w:val="%1."/>
      <w:lvlJc w:val="left"/>
      <w:pPr>
        <w:ind w:left="1440" w:hanging="360"/>
      </w:pPr>
      <w:rPr>
        <w:rFonts w:hint="default"/>
      </w:rPr>
    </w:lvl>
    <w:lvl w:ilvl="1" w:tplc="0C0C0019">
      <w:start w:val="1"/>
      <w:numFmt w:val="lowerLetter"/>
      <w:lvlText w:val="%2."/>
      <w:lvlJc w:val="left"/>
      <w:pPr>
        <w:ind w:left="2160" w:hanging="360"/>
      </w:pPr>
    </w:lvl>
    <w:lvl w:ilvl="2" w:tplc="0C0C001B">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6" w15:restartNumberingAfterBreak="0">
    <w:nsid w:val="27E35E36"/>
    <w:multiLevelType w:val="hybridMultilevel"/>
    <w:tmpl w:val="269EE1EA"/>
    <w:lvl w:ilvl="0" w:tplc="0C0C001B">
      <w:start w:val="1"/>
      <w:numFmt w:val="lowerRoman"/>
      <w:lvlText w:val="%1."/>
      <w:lvlJc w:val="right"/>
      <w:pPr>
        <w:ind w:left="288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A0AA3"/>
    <w:multiLevelType w:val="hybridMultilevel"/>
    <w:tmpl w:val="9C6C42D8"/>
    <w:lvl w:ilvl="0" w:tplc="44D29752">
      <w:start w:val="1"/>
      <w:numFmt w:val="lowerRoman"/>
      <w:pStyle w:val="Listroman"/>
      <w:lvlText w:val="%1."/>
      <w:lvlJc w:val="left"/>
      <w:pPr>
        <w:ind w:left="641" w:hanging="357"/>
      </w:pPr>
      <w:rPr>
        <w:rFonts w:hint="default"/>
      </w:rPr>
    </w:lvl>
    <w:lvl w:ilvl="1" w:tplc="04090019" w:tentative="1">
      <w:start w:val="1"/>
      <w:numFmt w:val="lowerLetter"/>
      <w:lvlText w:val="%2."/>
      <w:lvlJc w:val="left"/>
      <w:pPr>
        <w:ind w:left="1744" w:hanging="360"/>
      </w:pPr>
    </w:lvl>
    <w:lvl w:ilvl="2" w:tplc="0409001B" w:tentative="1">
      <w:start w:val="1"/>
      <w:numFmt w:val="lowerRoman"/>
      <w:lvlText w:val="%3."/>
      <w:lvlJc w:val="right"/>
      <w:pPr>
        <w:ind w:left="2464" w:hanging="180"/>
      </w:pPr>
    </w:lvl>
    <w:lvl w:ilvl="3" w:tplc="0409000F" w:tentative="1">
      <w:start w:val="1"/>
      <w:numFmt w:val="decimal"/>
      <w:lvlText w:val="%4."/>
      <w:lvlJc w:val="left"/>
      <w:pPr>
        <w:ind w:left="3184" w:hanging="360"/>
      </w:pPr>
    </w:lvl>
    <w:lvl w:ilvl="4" w:tplc="04090019" w:tentative="1">
      <w:start w:val="1"/>
      <w:numFmt w:val="lowerLetter"/>
      <w:lvlText w:val="%5."/>
      <w:lvlJc w:val="left"/>
      <w:pPr>
        <w:ind w:left="3904" w:hanging="360"/>
      </w:pPr>
    </w:lvl>
    <w:lvl w:ilvl="5" w:tplc="0409001B" w:tentative="1">
      <w:start w:val="1"/>
      <w:numFmt w:val="lowerRoman"/>
      <w:lvlText w:val="%6."/>
      <w:lvlJc w:val="right"/>
      <w:pPr>
        <w:ind w:left="4624" w:hanging="180"/>
      </w:pPr>
    </w:lvl>
    <w:lvl w:ilvl="6" w:tplc="0409000F" w:tentative="1">
      <w:start w:val="1"/>
      <w:numFmt w:val="decimal"/>
      <w:lvlText w:val="%7."/>
      <w:lvlJc w:val="left"/>
      <w:pPr>
        <w:ind w:left="5344" w:hanging="360"/>
      </w:pPr>
    </w:lvl>
    <w:lvl w:ilvl="7" w:tplc="04090019" w:tentative="1">
      <w:start w:val="1"/>
      <w:numFmt w:val="lowerLetter"/>
      <w:lvlText w:val="%8."/>
      <w:lvlJc w:val="left"/>
      <w:pPr>
        <w:ind w:left="6064" w:hanging="360"/>
      </w:pPr>
    </w:lvl>
    <w:lvl w:ilvl="8" w:tplc="0409001B" w:tentative="1">
      <w:start w:val="1"/>
      <w:numFmt w:val="lowerRoman"/>
      <w:lvlText w:val="%9."/>
      <w:lvlJc w:val="right"/>
      <w:pPr>
        <w:ind w:left="6784" w:hanging="180"/>
      </w:pPr>
    </w:lvl>
  </w:abstractNum>
  <w:abstractNum w:abstractNumId="8" w15:restartNumberingAfterBreak="0">
    <w:nsid w:val="2B094461"/>
    <w:multiLevelType w:val="hybridMultilevel"/>
    <w:tmpl w:val="E03E351C"/>
    <w:lvl w:ilvl="0" w:tplc="F6D63BD0">
      <w:start w:val="1"/>
      <w:numFmt w:val="lowerLetter"/>
      <w:pStyle w:val="Listletters"/>
      <w:lvlText w:val="%1)"/>
      <w:lvlJc w:val="left"/>
      <w:pPr>
        <w:ind w:left="360" w:hanging="360"/>
      </w:pPr>
      <w:rPr>
        <w:rFonts w:hint="default"/>
      </w:rPr>
    </w:lvl>
    <w:lvl w:ilvl="1" w:tplc="0409001B">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992F9B"/>
    <w:multiLevelType w:val="multilevel"/>
    <w:tmpl w:val="8CE491E0"/>
    <w:lvl w:ilvl="0">
      <w:start w:val="1"/>
      <w:numFmt w:val="decimal"/>
      <w:pStyle w:val="NumberedList"/>
      <w:lvlText w:val="%1."/>
      <w:lvlJc w:val="left"/>
      <w:pPr>
        <w:ind w:left="720" w:hanging="360"/>
      </w:pPr>
      <w:rPr>
        <w:rFonts w:hint="default"/>
        <w:color w:val="0066FF"/>
      </w:rPr>
    </w:lvl>
    <w:lvl w:ilvl="1">
      <w:start w:val="1"/>
      <w:numFmt w:val="lowerLetter"/>
      <w:lvlText w:val="%2."/>
      <w:lvlJc w:val="left"/>
      <w:pPr>
        <w:ind w:left="1440" w:hanging="360"/>
      </w:pPr>
      <w:rPr>
        <w:rFonts w:hint="default"/>
        <w:color w:val="0066FF"/>
      </w:rPr>
    </w:lvl>
    <w:lvl w:ilvl="2">
      <w:start w:val="1"/>
      <w:numFmt w:val="lowerRoman"/>
      <w:lvlText w:val="%3."/>
      <w:lvlJc w:val="right"/>
      <w:pPr>
        <w:ind w:left="2160" w:hanging="360"/>
      </w:pPr>
      <w:rPr>
        <w:rFonts w:hint="default"/>
        <w:color w:val="0066FF"/>
      </w:rPr>
    </w:lvl>
    <w:lvl w:ilvl="3">
      <w:start w:val="1"/>
      <w:numFmt w:val="decimal"/>
      <w:lvlText w:val="%4."/>
      <w:lvlJc w:val="left"/>
      <w:pPr>
        <w:ind w:left="2880" w:hanging="360"/>
      </w:pPr>
      <w:rPr>
        <w:rFonts w:hint="default"/>
        <w:color w:val="0066FF"/>
      </w:rPr>
    </w:lvl>
    <w:lvl w:ilvl="4">
      <w:start w:val="1"/>
      <w:numFmt w:val="lowerLetter"/>
      <w:lvlText w:val="%5."/>
      <w:lvlJc w:val="left"/>
      <w:pPr>
        <w:ind w:left="3600" w:hanging="360"/>
      </w:pPr>
      <w:rPr>
        <w:rFonts w:hint="default"/>
        <w:color w:val="0066FF"/>
      </w:rPr>
    </w:lvl>
    <w:lvl w:ilvl="5">
      <w:start w:val="1"/>
      <w:numFmt w:val="lowerRoman"/>
      <w:lvlText w:val="%6."/>
      <w:lvlJc w:val="right"/>
      <w:pPr>
        <w:ind w:left="4320" w:hanging="180"/>
      </w:pPr>
      <w:rPr>
        <w:rFonts w:hint="default"/>
        <w:color w:val="0066FF"/>
      </w:rPr>
    </w:lvl>
    <w:lvl w:ilvl="6">
      <w:start w:val="1"/>
      <w:numFmt w:val="decimal"/>
      <w:lvlText w:val="%7."/>
      <w:lvlJc w:val="left"/>
      <w:pPr>
        <w:ind w:left="5040" w:hanging="360"/>
      </w:pPr>
      <w:rPr>
        <w:rFonts w:hint="default"/>
        <w:color w:val="0066FF"/>
      </w:rPr>
    </w:lvl>
    <w:lvl w:ilvl="7">
      <w:start w:val="1"/>
      <w:numFmt w:val="lowerLetter"/>
      <w:lvlText w:val="%8."/>
      <w:lvlJc w:val="left"/>
      <w:pPr>
        <w:ind w:left="5760" w:hanging="360"/>
      </w:pPr>
      <w:rPr>
        <w:rFonts w:hint="default"/>
        <w:color w:val="0066FF"/>
      </w:rPr>
    </w:lvl>
    <w:lvl w:ilvl="8">
      <w:start w:val="1"/>
      <w:numFmt w:val="lowerRoman"/>
      <w:lvlText w:val="%9."/>
      <w:lvlJc w:val="right"/>
      <w:pPr>
        <w:ind w:left="6480" w:hanging="180"/>
      </w:pPr>
      <w:rPr>
        <w:rFonts w:hint="default"/>
        <w:color w:val="0066FF"/>
      </w:rPr>
    </w:lvl>
  </w:abstractNum>
  <w:abstractNum w:abstractNumId="10" w15:restartNumberingAfterBreak="0">
    <w:nsid w:val="71021B5B"/>
    <w:multiLevelType w:val="hybridMultilevel"/>
    <w:tmpl w:val="2B4C5CB0"/>
    <w:lvl w:ilvl="0" w:tplc="93280180">
      <w:start w:val="1"/>
      <w:numFmt w:val="lowerLetter"/>
      <w:pStyle w:val="Heading5"/>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6B67EE1"/>
    <w:multiLevelType w:val="multilevel"/>
    <w:tmpl w:val="EF44B772"/>
    <w:styleLink w:val="Style1"/>
    <w:lvl w:ilvl="0">
      <w:start w:val="1"/>
      <w:numFmt w:val="bullet"/>
      <w:pStyle w:val="BulletsBlack"/>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color w:val="auto"/>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color w:val="0066FF"/>
      </w:rPr>
    </w:lvl>
    <w:lvl w:ilvl="4">
      <w:start w:val="1"/>
      <w:numFmt w:val="bullet"/>
      <w:lvlText w:val="o"/>
      <w:lvlJc w:val="left"/>
      <w:pPr>
        <w:ind w:left="3600" w:hanging="360"/>
      </w:pPr>
      <w:rPr>
        <w:rFonts w:ascii="Courier New" w:hAnsi="Courier New" w:hint="default"/>
        <w:color w:val="0066FF"/>
      </w:rPr>
    </w:lvl>
    <w:lvl w:ilvl="5">
      <w:start w:val="1"/>
      <w:numFmt w:val="bullet"/>
      <w:lvlText w:val=""/>
      <w:lvlJc w:val="left"/>
      <w:pPr>
        <w:ind w:left="4320" w:hanging="360"/>
      </w:pPr>
      <w:rPr>
        <w:rFonts w:ascii="Wingdings" w:hAnsi="Wingdings" w:hint="default"/>
        <w:color w:val="0066FF"/>
      </w:rPr>
    </w:lvl>
    <w:lvl w:ilvl="6">
      <w:start w:val="1"/>
      <w:numFmt w:val="bullet"/>
      <w:lvlText w:val=""/>
      <w:lvlJc w:val="left"/>
      <w:pPr>
        <w:ind w:left="5040" w:hanging="360"/>
      </w:pPr>
      <w:rPr>
        <w:rFonts w:ascii="Symbol" w:hAnsi="Symbol" w:hint="default"/>
        <w:color w:val="0066FF"/>
      </w:rPr>
    </w:lvl>
    <w:lvl w:ilvl="7">
      <w:start w:val="1"/>
      <w:numFmt w:val="bullet"/>
      <w:lvlText w:val="o"/>
      <w:lvlJc w:val="left"/>
      <w:pPr>
        <w:ind w:left="5760" w:hanging="360"/>
      </w:pPr>
      <w:rPr>
        <w:rFonts w:ascii="Courier New" w:hAnsi="Courier New" w:hint="default"/>
        <w:color w:val="0066FF"/>
      </w:rPr>
    </w:lvl>
    <w:lvl w:ilvl="8">
      <w:start w:val="1"/>
      <w:numFmt w:val="bullet"/>
      <w:lvlText w:val=""/>
      <w:lvlJc w:val="left"/>
      <w:pPr>
        <w:ind w:left="6480" w:hanging="360"/>
      </w:pPr>
      <w:rPr>
        <w:rFonts w:ascii="Wingdings" w:hAnsi="Wingdings" w:hint="default"/>
        <w:color w:val="0066FF"/>
      </w:rPr>
    </w:lvl>
  </w:abstractNum>
  <w:abstractNum w:abstractNumId="12" w15:restartNumberingAfterBreak="0">
    <w:nsid w:val="7C470BAE"/>
    <w:multiLevelType w:val="hybridMultilevel"/>
    <w:tmpl w:val="FCCCD678"/>
    <w:lvl w:ilvl="0" w:tplc="F5D6AB78">
      <w:start w:val="1"/>
      <w:numFmt w:val="lowerLetter"/>
      <w:lvlText w:val="%1)"/>
      <w:lvlJc w:val="left"/>
      <w:pPr>
        <w:ind w:left="720" w:hanging="360"/>
      </w:pPr>
      <w:rPr>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F3243D"/>
    <w:multiLevelType w:val="multilevel"/>
    <w:tmpl w:val="EF44B772"/>
    <w:numStyleLink w:val="Style1"/>
  </w:abstractNum>
  <w:num w:numId="1">
    <w:abstractNumId w:val="9"/>
  </w:num>
  <w:num w:numId="2">
    <w:abstractNumId w:val="2"/>
  </w:num>
  <w:num w:numId="3">
    <w:abstractNumId w:val="13"/>
  </w:num>
  <w:num w:numId="4">
    <w:abstractNumId w:val="11"/>
  </w:num>
  <w:num w:numId="5">
    <w:abstractNumId w:val="4"/>
  </w:num>
  <w:num w:numId="6">
    <w:abstractNumId w:val="4"/>
    <w:lvlOverride w:ilvl="0">
      <w:startOverride w:val="1"/>
    </w:lvlOverride>
  </w:num>
  <w:num w:numId="7">
    <w:abstractNumId w:val="12"/>
  </w:num>
  <w:num w:numId="8">
    <w:abstractNumId w:val="5"/>
  </w:num>
  <w:num w:numId="9">
    <w:abstractNumId w:val="6"/>
  </w:num>
  <w:num w:numId="10">
    <w:abstractNumId w:val="10"/>
  </w:num>
  <w:num w:numId="11">
    <w:abstractNumId w:val="3"/>
  </w:num>
  <w:num w:numId="12">
    <w:abstractNumId w:val="1"/>
  </w:num>
  <w:num w:numId="13">
    <w:abstractNumId w:val="8"/>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8"/>
    <w:lvlOverride w:ilvl="0">
      <w:startOverride w:val="1"/>
    </w:lvlOverride>
  </w:num>
  <w:num w:numId="24">
    <w:abstractNumId w:val="8"/>
    <w:lvlOverride w:ilvl="0">
      <w:startOverride w:val="1"/>
    </w:lvlOverride>
  </w:num>
  <w:num w:numId="25">
    <w:abstractNumId w:val="7"/>
  </w:num>
  <w:num w:numId="26">
    <w:abstractNumId w:val="8"/>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7"/>
    <w:lvlOverride w:ilvl="0">
      <w:startOverride w:val="1"/>
    </w:lvlOverride>
  </w:num>
  <w:num w:numId="31">
    <w:abstractNumId w:val="0"/>
  </w:num>
  <w:num w:numId="32">
    <w:abstractNumId w:val="0"/>
    <w:lvlOverride w:ilvl="0">
      <w:startOverride w:val="1"/>
    </w:lvlOverride>
  </w:num>
  <w:num w:numId="33">
    <w:abstractNumId w:val="0"/>
    <w:lvlOverride w:ilvl="0">
      <w:startOverride w:val="1"/>
    </w:lvlOverride>
  </w:num>
  <w:num w:numId="34">
    <w:abstractNumId w:val="0"/>
    <w:lvlOverride w:ilvl="0">
      <w:startOverride w:val="1"/>
    </w:lvlOverride>
  </w:num>
  <w:num w:numId="35">
    <w:abstractNumId w:val="7"/>
    <w:lvlOverride w:ilvl="0">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trackRevisions/>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B28"/>
    <w:rsid w:val="00000221"/>
    <w:rsid w:val="00016B20"/>
    <w:rsid w:val="00087A27"/>
    <w:rsid w:val="000907F6"/>
    <w:rsid w:val="000B5736"/>
    <w:rsid w:val="000B752B"/>
    <w:rsid w:val="000B7B60"/>
    <w:rsid w:val="000C63A2"/>
    <w:rsid w:val="000F18A6"/>
    <w:rsid w:val="001178E1"/>
    <w:rsid w:val="001459D9"/>
    <w:rsid w:val="001521B8"/>
    <w:rsid w:val="0015776A"/>
    <w:rsid w:val="001623DD"/>
    <w:rsid w:val="001727BC"/>
    <w:rsid w:val="00186C54"/>
    <w:rsid w:val="001A385D"/>
    <w:rsid w:val="001B118D"/>
    <w:rsid w:val="001D21F0"/>
    <w:rsid w:val="001E38F9"/>
    <w:rsid w:val="00203534"/>
    <w:rsid w:val="00214C01"/>
    <w:rsid w:val="00222F02"/>
    <w:rsid w:val="00242503"/>
    <w:rsid w:val="00254000"/>
    <w:rsid w:val="00263875"/>
    <w:rsid w:val="002874CA"/>
    <w:rsid w:val="00287BE7"/>
    <w:rsid w:val="002B5EE4"/>
    <w:rsid w:val="002B630A"/>
    <w:rsid w:val="002D3600"/>
    <w:rsid w:val="00301F28"/>
    <w:rsid w:val="00313239"/>
    <w:rsid w:val="00323A69"/>
    <w:rsid w:val="00332E8E"/>
    <w:rsid w:val="003428BB"/>
    <w:rsid w:val="00376803"/>
    <w:rsid w:val="003A010B"/>
    <w:rsid w:val="003B67E5"/>
    <w:rsid w:val="003C3481"/>
    <w:rsid w:val="003C5D38"/>
    <w:rsid w:val="003D3264"/>
    <w:rsid w:val="003D7045"/>
    <w:rsid w:val="003E5398"/>
    <w:rsid w:val="003F3082"/>
    <w:rsid w:val="003F44F1"/>
    <w:rsid w:val="003F60D7"/>
    <w:rsid w:val="00422B66"/>
    <w:rsid w:val="00433AF5"/>
    <w:rsid w:val="00433C23"/>
    <w:rsid w:val="00474ADD"/>
    <w:rsid w:val="00477AC1"/>
    <w:rsid w:val="00477B28"/>
    <w:rsid w:val="0049437F"/>
    <w:rsid w:val="004A2FFC"/>
    <w:rsid w:val="004B4B93"/>
    <w:rsid w:val="004B52B2"/>
    <w:rsid w:val="004C079F"/>
    <w:rsid w:val="004C2324"/>
    <w:rsid w:val="004E69D2"/>
    <w:rsid w:val="004E757D"/>
    <w:rsid w:val="004F3706"/>
    <w:rsid w:val="004F7204"/>
    <w:rsid w:val="00511BE2"/>
    <w:rsid w:val="00516C30"/>
    <w:rsid w:val="005252B5"/>
    <w:rsid w:val="00527006"/>
    <w:rsid w:val="00530A48"/>
    <w:rsid w:val="00533DCB"/>
    <w:rsid w:val="00554803"/>
    <w:rsid w:val="00580520"/>
    <w:rsid w:val="005A7D1B"/>
    <w:rsid w:val="005C18BB"/>
    <w:rsid w:val="005C5112"/>
    <w:rsid w:val="005C7C8C"/>
    <w:rsid w:val="0060134B"/>
    <w:rsid w:val="006432C5"/>
    <w:rsid w:val="00671618"/>
    <w:rsid w:val="00680F5C"/>
    <w:rsid w:val="00690731"/>
    <w:rsid w:val="00696035"/>
    <w:rsid w:val="006B25F8"/>
    <w:rsid w:val="006C1422"/>
    <w:rsid w:val="006C2E80"/>
    <w:rsid w:val="006C6314"/>
    <w:rsid w:val="006E1BD5"/>
    <w:rsid w:val="006E2DD3"/>
    <w:rsid w:val="006E7BA7"/>
    <w:rsid w:val="006F0D40"/>
    <w:rsid w:val="006F315B"/>
    <w:rsid w:val="0071494C"/>
    <w:rsid w:val="00726ACB"/>
    <w:rsid w:val="00745729"/>
    <w:rsid w:val="007A7525"/>
    <w:rsid w:val="007D65C5"/>
    <w:rsid w:val="007E0781"/>
    <w:rsid w:val="007E0905"/>
    <w:rsid w:val="007E5A84"/>
    <w:rsid w:val="007F35CA"/>
    <w:rsid w:val="0080446F"/>
    <w:rsid w:val="008068EF"/>
    <w:rsid w:val="00811C08"/>
    <w:rsid w:val="00827D15"/>
    <w:rsid w:val="00827E57"/>
    <w:rsid w:val="00845010"/>
    <w:rsid w:val="0085210B"/>
    <w:rsid w:val="00867BF3"/>
    <w:rsid w:val="00874EFE"/>
    <w:rsid w:val="008A3477"/>
    <w:rsid w:val="008B2E17"/>
    <w:rsid w:val="008D18F8"/>
    <w:rsid w:val="008D305C"/>
    <w:rsid w:val="008E7FC2"/>
    <w:rsid w:val="008F7CD0"/>
    <w:rsid w:val="009126E8"/>
    <w:rsid w:val="00924947"/>
    <w:rsid w:val="0094735F"/>
    <w:rsid w:val="00953B99"/>
    <w:rsid w:val="009551E6"/>
    <w:rsid w:val="009A333F"/>
    <w:rsid w:val="009C7B4B"/>
    <w:rsid w:val="009D23D3"/>
    <w:rsid w:val="009E20F5"/>
    <w:rsid w:val="009F21F5"/>
    <w:rsid w:val="009F2BCF"/>
    <w:rsid w:val="00A16C7C"/>
    <w:rsid w:val="00A2032E"/>
    <w:rsid w:val="00A30511"/>
    <w:rsid w:val="00A458AC"/>
    <w:rsid w:val="00A52785"/>
    <w:rsid w:val="00A5309C"/>
    <w:rsid w:val="00A5318C"/>
    <w:rsid w:val="00A56713"/>
    <w:rsid w:val="00A67572"/>
    <w:rsid w:val="00A75A06"/>
    <w:rsid w:val="00A77B9B"/>
    <w:rsid w:val="00A843F1"/>
    <w:rsid w:val="00AB3D96"/>
    <w:rsid w:val="00AC5B8B"/>
    <w:rsid w:val="00AD3F43"/>
    <w:rsid w:val="00AE27B4"/>
    <w:rsid w:val="00AE3F18"/>
    <w:rsid w:val="00AE57BC"/>
    <w:rsid w:val="00B046E0"/>
    <w:rsid w:val="00B233B5"/>
    <w:rsid w:val="00B33071"/>
    <w:rsid w:val="00B4046B"/>
    <w:rsid w:val="00B5372F"/>
    <w:rsid w:val="00B61E5E"/>
    <w:rsid w:val="00B8435A"/>
    <w:rsid w:val="00BB22E9"/>
    <w:rsid w:val="00BC583E"/>
    <w:rsid w:val="00BD15E2"/>
    <w:rsid w:val="00BD4116"/>
    <w:rsid w:val="00BE58AA"/>
    <w:rsid w:val="00C20D66"/>
    <w:rsid w:val="00C31714"/>
    <w:rsid w:val="00C31E9C"/>
    <w:rsid w:val="00C426B3"/>
    <w:rsid w:val="00C46201"/>
    <w:rsid w:val="00C672BC"/>
    <w:rsid w:val="00C673E9"/>
    <w:rsid w:val="00CA1FBA"/>
    <w:rsid w:val="00CC0F4D"/>
    <w:rsid w:val="00CE1CE5"/>
    <w:rsid w:val="00D05210"/>
    <w:rsid w:val="00D1531E"/>
    <w:rsid w:val="00D243D4"/>
    <w:rsid w:val="00D64559"/>
    <w:rsid w:val="00D70D0A"/>
    <w:rsid w:val="00D767D3"/>
    <w:rsid w:val="00D90685"/>
    <w:rsid w:val="00D91E55"/>
    <w:rsid w:val="00D92747"/>
    <w:rsid w:val="00DA3F13"/>
    <w:rsid w:val="00DB2EF9"/>
    <w:rsid w:val="00DB6854"/>
    <w:rsid w:val="00DC533E"/>
    <w:rsid w:val="00E04DF3"/>
    <w:rsid w:val="00E312F5"/>
    <w:rsid w:val="00E41CC2"/>
    <w:rsid w:val="00E43BDC"/>
    <w:rsid w:val="00E53434"/>
    <w:rsid w:val="00E72B01"/>
    <w:rsid w:val="00E93BC0"/>
    <w:rsid w:val="00E947BA"/>
    <w:rsid w:val="00EA4E44"/>
    <w:rsid w:val="00EB3759"/>
    <w:rsid w:val="00EC1A0D"/>
    <w:rsid w:val="00EC1DF3"/>
    <w:rsid w:val="00EC3904"/>
    <w:rsid w:val="00EF3381"/>
    <w:rsid w:val="00F304BC"/>
    <w:rsid w:val="00F31629"/>
    <w:rsid w:val="00F45E38"/>
    <w:rsid w:val="00F55255"/>
    <w:rsid w:val="00F80415"/>
    <w:rsid w:val="00FA0AE2"/>
    <w:rsid w:val="00FD6198"/>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EDB3D6"/>
  <w15:chartTrackingRefBased/>
  <w15:docId w15:val="{EFA68099-DC3C-4A12-9FBF-47387815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US"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7B28"/>
    <w:pPr>
      <w:spacing w:after="160" w:line="259" w:lineRule="auto"/>
    </w:pPr>
    <w:rPr>
      <w:rFonts w:asciiTheme="minorHAnsi" w:hAnsiTheme="minorHAnsi" w:cstheme="minorBidi"/>
      <w:sz w:val="22"/>
      <w:szCs w:val="22"/>
      <w:lang w:val="en-CA"/>
    </w:rPr>
  </w:style>
  <w:style w:type="paragraph" w:styleId="Heading1">
    <w:name w:val="heading 1"/>
    <w:basedOn w:val="Normal"/>
    <w:next w:val="Normal"/>
    <w:link w:val="Heading1Char"/>
    <w:uiPriority w:val="2"/>
    <w:qFormat/>
    <w:rsid w:val="004C2324"/>
    <w:pPr>
      <w:keepNext/>
      <w:keepLines/>
      <w:spacing w:before="12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qFormat/>
    <w:rsid w:val="003C3481"/>
    <w:pPr>
      <w:keepNext/>
      <w:keepLines/>
      <w:spacing w:before="220"/>
      <w:outlineLvl w:val="1"/>
    </w:pPr>
    <w:rPr>
      <w:rFonts w:eastAsiaTheme="majorEastAsia" w:cstheme="majorBidi"/>
      <w:b/>
      <w:bCs/>
      <w:sz w:val="24"/>
      <w:szCs w:val="26"/>
    </w:rPr>
  </w:style>
  <w:style w:type="paragraph" w:styleId="Heading3">
    <w:name w:val="heading 3"/>
    <w:basedOn w:val="Normal"/>
    <w:next w:val="Normal"/>
    <w:link w:val="Heading3Char"/>
    <w:uiPriority w:val="4"/>
    <w:qFormat/>
    <w:rsid w:val="003C3481"/>
    <w:pPr>
      <w:keepNext/>
      <w:keepLines/>
      <w:spacing w:before="220"/>
      <w:outlineLvl w:val="2"/>
    </w:pPr>
    <w:rPr>
      <w:rFonts w:eastAsiaTheme="majorEastAsia" w:cstheme="majorBidi"/>
      <w:b/>
      <w:bCs/>
      <w:color w:val="003366"/>
      <w:sz w:val="24"/>
    </w:rPr>
  </w:style>
  <w:style w:type="paragraph" w:styleId="Heading4">
    <w:name w:val="heading 4"/>
    <w:basedOn w:val="Normal"/>
    <w:next w:val="Normal"/>
    <w:link w:val="Heading4Char"/>
    <w:uiPriority w:val="5"/>
    <w:qFormat/>
    <w:rsid w:val="003C3481"/>
    <w:pPr>
      <w:keepNext/>
      <w:keepLines/>
      <w:spacing w:before="220"/>
      <w:outlineLvl w:val="3"/>
    </w:pPr>
    <w:rPr>
      <w:rFonts w:eastAsiaTheme="majorEastAsia" w:cstheme="majorBidi"/>
      <w:b/>
      <w:bCs/>
      <w:i/>
      <w:iCs/>
      <w:sz w:val="24"/>
    </w:rPr>
  </w:style>
  <w:style w:type="paragraph" w:styleId="Heading5">
    <w:name w:val="heading 5"/>
    <w:basedOn w:val="Normal"/>
    <w:next w:val="Normal"/>
    <w:link w:val="Heading5Char"/>
    <w:uiPriority w:val="9"/>
    <w:unhideWhenUsed/>
    <w:qFormat/>
    <w:rsid w:val="003C3481"/>
    <w:pPr>
      <w:keepNext/>
      <w:keepLines/>
      <w:numPr>
        <w:numId w:val="10"/>
      </w:numPr>
      <w:spacing w:before="220"/>
      <w:outlineLvl w:val="4"/>
    </w:pPr>
    <w:rPr>
      <w:rFonts w:eastAsiaTheme="majorEastAsia" w:cstheme="majorBidi"/>
      <w:b/>
      <w:color w:val="003366"/>
      <w:sz w:val="24"/>
    </w:rPr>
  </w:style>
  <w:style w:type="paragraph" w:styleId="Heading6">
    <w:name w:val="heading 6"/>
    <w:basedOn w:val="Normal"/>
    <w:next w:val="Normal"/>
    <w:link w:val="Heading6Char"/>
    <w:uiPriority w:val="9"/>
    <w:unhideWhenUsed/>
    <w:rsid w:val="00F31629"/>
    <w:pPr>
      <w:keepNext/>
      <w:keepLines/>
      <w:spacing w:before="120"/>
      <w:outlineLvl w:val="5"/>
    </w:pPr>
    <w:rPr>
      <w:rFonts w:asciiTheme="majorHAnsi" w:eastAsiaTheme="majorEastAsia" w:hAnsiTheme="majorHAnsi" w:cstheme="majorBidi"/>
      <w:i/>
      <w:iCs/>
      <w:color w:val="004C7F" w:themeColor="accent1" w:themeShade="7F"/>
    </w:rPr>
  </w:style>
  <w:style w:type="paragraph" w:styleId="Heading7">
    <w:name w:val="heading 7"/>
    <w:basedOn w:val="Normal"/>
    <w:next w:val="Normal"/>
    <w:link w:val="Heading7Char"/>
    <w:uiPriority w:val="9"/>
    <w:unhideWhenUsed/>
    <w:rsid w:val="000C63A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0B5736"/>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80F5C"/>
    <w:rPr>
      <w:rFonts w:eastAsiaTheme="majorEastAsia" w:cstheme="majorBidi"/>
      <w:b/>
      <w:bCs/>
      <w:sz w:val="28"/>
      <w:szCs w:val="28"/>
    </w:rPr>
  </w:style>
  <w:style w:type="character" w:customStyle="1" w:styleId="Heading2Char">
    <w:name w:val="Heading 2 Char"/>
    <w:basedOn w:val="DefaultParagraphFont"/>
    <w:link w:val="Heading2"/>
    <w:uiPriority w:val="9"/>
    <w:rsid w:val="00680F5C"/>
    <w:rPr>
      <w:rFonts w:eastAsiaTheme="majorEastAsia" w:cstheme="majorBidi"/>
      <w:b/>
      <w:bCs/>
      <w:szCs w:val="26"/>
    </w:rPr>
  </w:style>
  <w:style w:type="paragraph" w:styleId="ListParagraph">
    <w:name w:val="List Paragraph"/>
    <w:basedOn w:val="Normal"/>
    <w:link w:val="ListParagraphChar"/>
    <w:uiPriority w:val="34"/>
    <w:qFormat/>
    <w:rsid w:val="00D767D3"/>
    <w:pPr>
      <w:numPr>
        <w:numId w:val="2"/>
      </w:numPr>
    </w:pPr>
  </w:style>
  <w:style w:type="character" w:styleId="IntenseEmphasis">
    <w:name w:val="Intense Emphasis"/>
    <w:basedOn w:val="DefaultParagraphFont"/>
    <w:uiPriority w:val="21"/>
    <w:qFormat/>
    <w:rsid w:val="00554803"/>
    <w:rPr>
      <w:rFonts w:ascii="Arial" w:hAnsi="Arial"/>
      <w:b/>
      <w:bCs/>
      <w:i/>
      <w:iCs/>
      <w:color w:val="auto"/>
      <w:sz w:val="22"/>
    </w:rPr>
  </w:style>
  <w:style w:type="paragraph" w:styleId="Subtitle">
    <w:name w:val="Subtitle"/>
    <w:basedOn w:val="Normal"/>
    <w:next w:val="Normal"/>
    <w:link w:val="SubtitleChar"/>
    <w:uiPriority w:val="11"/>
    <w:rsid w:val="006E1BD5"/>
    <w:pPr>
      <w:numPr>
        <w:ilvl w:val="1"/>
      </w:numPr>
      <w:ind w:left="720" w:hanging="360"/>
    </w:pPr>
    <w:rPr>
      <w:rFonts w:eastAsiaTheme="majorEastAsia" w:cstheme="majorBidi"/>
      <w:i/>
      <w:iCs/>
      <w:spacing w:val="15"/>
    </w:rPr>
  </w:style>
  <w:style w:type="character" w:customStyle="1" w:styleId="SubtitleChar">
    <w:name w:val="Subtitle Char"/>
    <w:basedOn w:val="DefaultParagraphFont"/>
    <w:link w:val="Subtitle"/>
    <w:uiPriority w:val="11"/>
    <w:rsid w:val="006E1BD5"/>
    <w:rPr>
      <w:rFonts w:eastAsiaTheme="majorEastAsia" w:cstheme="majorBidi"/>
      <w:i/>
      <w:iCs/>
      <w:spacing w:val="15"/>
      <w:lang w:val="en-CA"/>
    </w:rPr>
  </w:style>
  <w:style w:type="paragraph" w:styleId="IntenseQuote">
    <w:name w:val="Intense Quote"/>
    <w:basedOn w:val="Normal"/>
    <w:next w:val="Normal"/>
    <w:link w:val="IntenseQuoteChar"/>
    <w:uiPriority w:val="12"/>
    <w:qFormat/>
    <w:rsid w:val="00C46201"/>
    <w:pPr>
      <w:pBdr>
        <w:bottom w:val="single" w:sz="4" w:space="4" w:color="0099FF" w:themeColor="accent1"/>
      </w:pBdr>
      <w:spacing w:before="200" w:after="280"/>
      <w:ind w:left="936" w:right="936"/>
    </w:pPr>
    <w:rPr>
      <w:b/>
      <w:bCs/>
      <w:i/>
      <w:iCs/>
      <w:color w:val="003366"/>
    </w:rPr>
  </w:style>
  <w:style w:type="character" w:customStyle="1" w:styleId="IntenseQuoteChar">
    <w:name w:val="Intense Quote Char"/>
    <w:basedOn w:val="DefaultParagraphFont"/>
    <w:link w:val="IntenseQuote"/>
    <w:uiPriority w:val="12"/>
    <w:rsid w:val="00AD3F43"/>
    <w:rPr>
      <w:b/>
      <w:bCs/>
      <w:i/>
      <w:iCs/>
      <w:color w:val="003366"/>
      <w:sz w:val="22"/>
    </w:rPr>
  </w:style>
  <w:style w:type="character" w:customStyle="1" w:styleId="Heading3Char">
    <w:name w:val="Heading 3 Char"/>
    <w:basedOn w:val="DefaultParagraphFont"/>
    <w:link w:val="Heading3"/>
    <w:uiPriority w:val="4"/>
    <w:rsid w:val="00680F5C"/>
    <w:rPr>
      <w:rFonts w:eastAsiaTheme="majorEastAsia" w:cstheme="majorBidi"/>
      <w:b/>
      <w:bCs/>
      <w:color w:val="003366"/>
    </w:rPr>
  </w:style>
  <w:style w:type="character" w:customStyle="1" w:styleId="Heading4Char">
    <w:name w:val="Heading 4 Char"/>
    <w:basedOn w:val="DefaultParagraphFont"/>
    <w:link w:val="Heading4"/>
    <w:uiPriority w:val="5"/>
    <w:rsid w:val="00680F5C"/>
    <w:rPr>
      <w:rFonts w:eastAsiaTheme="majorEastAsia" w:cstheme="majorBidi"/>
      <w:b/>
      <w:bCs/>
      <w:i/>
      <w:iCs/>
    </w:rPr>
  </w:style>
  <w:style w:type="paragraph" w:styleId="NoSpacing">
    <w:name w:val="No Spacing"/>
    <w:basedOn w:val="Normal"/>
    <w:uiPriority w:val="1"/>
    <w:qFormat/>
    <w:rsid w:val="00554803"/>
    <w:pPr>
      <w:spacing w:after="0"/>
    </w:pPr>
  </w:style>
  <w:style w:type="paragraph" w:styleId="EnvelopeAddress">
    <w:name w:val="envelope address"/>
    <w:basedOn w:val="Normal"/>
    <w:uiPriority w:val="99"/>
    <w:semiHidden/>
    <w:unhideWhenUsed/>
    <w:rsid w:val="006C2E80"/>
    <w:pPr>
      <w:framePr w:w="7920" w:h="1980" w:hRule="exact" w:hSpace="180" w:wrap="auto" w:hAnchor="page" w:xAlign="center" w:yAlign="bottom"/>
      <w:spacing w:after="0"/>
      <w:ind w:left="2880"/>
    </w:pPr>
    <w:rPr>
      <w:rFonts w:eastAsiaTheme="majorEastAsia" w:cstheme="majorBidi"/>
    </w:rPr>
  </w:style>
  <w:style w:type="paragraph" w:styleId="EnvelopeReturn">
    <w:name w:val="envelope return"/>
    <w:basedOn w:val="Normal"/>
    <w:uiPriority w:val="99"/>
    <w:semiHidden/>
    <w:unhideWhenUsed/>
    <w:rsid w:val="000907F6"/>
    <w:pPr>
      <w:spacing w:after="0"/>
    </w:pPr>
    <w:rPr>
      <w:rFonts w:eastAsiaTheme="majorEastAsia" w:cstheme="majorBidi"/>
      <w:sz w:val="20"/>
      <w:szCs w:val="20"/>
    </w:rPr>
  </w:style>
  <w:style w:type="character" w:styleId="SubtleEmphasis">
    <w:name w:val="Subtle Emphasis"/>
    <w:basedOn w:val="DefaultParagraphFont"/>
    <w:uiPriority w:val="19"/>
    <w:qFormat/>
    <w:rsid w:val="00554803"/>
    <w:rPr>
      <w:i/>
      <w:iCs/>
      <w:color w:val="808080" w:themeColor="background1" w:themeShade="80"/>
    </w:rPr>
  </w:style>
  <w:style w:type="character" w:customStyle="1" w:styleId="Heading5Char">
    <w:name w:val="Heading 5 Char"/>
    <w:basedOn w:val="DefaultParagraphFont"/>
    <w:link w:val="Heading5"/>
    <w:uiPriority w:val="9"/>
    <w:rsid w:val="00AD3F43"/>
    <w:rPr>
      <w:rFonts w:asciiTheme="minorHAnsi" w:eastAsiaTheme="majorEastAsia" w:hAnsiTheme="minorHAnsi" w:cstheme="majorBidi"/>
      <w:b/>
      <w:color w:val="003366"/>
      <w:szCs w:val="22"/>
      <w:lang w:val="en-CA"/>
    </w:rPr>
  </w:style>
  <w:style w:type="paragraph" w:styleId="Quote">
    <w:name w:val="Quote"/>
    <w:basedOn w:val="Normal"/>
    <w:next w:val="Normal"/>
    <w:link w:val="QuoteChar"/>
    <w:uiPriority w:val="10"/>
    <w:qFormat/>
    <w:rsid w:val="00C46201"/>
    <w:pPr>
      <w:ind w:left="720" w:hanging="360"/>
    </w:pPr>
    <w:rPr>
      <w:i/>
      <w:iCs/>
      <w:color w:val="000000" w:themeColor="text1"/>
    </w:rPr>
  </w:style>
  <w:style w:type="character" w:customStyle="1" w:styleId="QuoteChar">
    <w:name w:val="Quote Char"/>
    <w:basedOn w:val="DefaultParagraphFont"/>
    <w:link w:val="Quote"/>
    <w:uiPriority w:val="10"/>
    <w:rsid w:val="00AD3F43"/>
    <w:rPr>
      <w:i/>
      <w:iCs/>
      <w:color w:val="000000" w:themeColor="text1"/>
      <w:sz w:val="22"/>
      <w:szCs w:val="22"/>
    </w:rPr>
  </w:style>
  <w:style w:type="character" w:styleId="Strong">
    <w:name w:val="Strong"/>
    <w:basedOn w:val="DefaultParagraphFont"/>
    <w:uiPriority w:val="22"/>
    <w:qFormat/>
    <w:rsid w:val="00554803"/>
    <w:rPr>
      <w:b/>
      <w:bCs/>
    </w:rPr>
  </w:style>
  <w:style w:type="paragraph" w:styleId="Header">
    <w:name w:val="header"/>
    <w:basedOn w:val="Normal"/>
    <w:link w:val="HeaderChar"/>
    <w:uiPriority w:val="99"/>
    <w:unhideWhenUsed/>
    <w:rsid w:val="00263875"/>
    <w:pPr>
      <w:tabs>
        <w:tab w:val="center" w:pos="4680"/>
        <w:tab w:val="right" w:pos="9360"/>
      </w:tabs>
      <w:spacing w:after="0"/>
    </w:pPr>
  </w:style>
  <w:style w:type="character" w:customStyle="1" w:styleId="HeaderChar">
    <w:name w:val="Header Char"/>
    <w:basedOn w:val="DefaultParagraphFont"/>
    <w:link w:val="Header"/>
    <w:uiPriority w:val="99"/>
    <w:rsid w:val="00263875"/>
  </w:style>
  <w:style w:type="paragraph" w:styleId="Footer">
    <w:name w:val="footer"/>
    <w:basedOn w:val="Normal"/>
    <w:link w:val="FooterChar"/>
    <w:uiPriority w:val="99"/>
    <w:unhideWhenUsed/>
    <w:rsid w:val="00263875"/>
    <w:pPr>
      <w:tabs>
        <w:tab w:val="center" w:pos="4680"/>
        <w:tab w:val="right" w:pos="9360"/>
      </w:tabs>
      <w:spacing w:after="0"/>
    </w:pPr>
  </w:style>
  <w:style w:type="character" w:customStyle="1" w:styleId="FooterChar">
    <w:name w:val="Footer Char"/>
    <w:basedOn w:val="DefaultParagraphFont"/>
    <w:link w:val="Footer"/>
    <w:uiPriority w:val="99"/>
    <w:rsid w:val="00263875"/>
  </w:style>
  <w:style w:type="paragraph" w:customStyle="1" w:styleId="NumberedList">
    <w:name w:val="Numbered List"/>
    <w:basedOn w:val="ListParagraph"/>
    <w:link w:val="NumberedListChar"/>
    <w:uiPriority w:val="8"/>
    <w:qFormat/>
    <w:rsid w:val="00F304BC"/>
    <w:pPr>
      <w:numPr>
        <w:numId w:val="1"/>
      </w:numPr>
    </w:pPr>
  </w:style>
  <w:style w:type="character" w:customStyle="1" w:styleId="ListParagraphChar">
    <w:name w:val="List Paragraph Char"/>
    <w:basedOn w:val="DefaultParagraphFont"/>
    <w:link w:val="ListParagraph"/>
    <w:uiPriority w:val="34"/>
    <w:rsid w:val="00D767D3"/>
    <w:rPr>
      <w:rFonts w:asciiTheme="minorHAnsi" w:hAnsiTheme="minorHAnsi" w:cstheme="minorBidi"/>
      <w:sz w:val="22"/>
      <w:szCs w:val="22"/>
      <w:lang w:val="en-CA"/>
    </w:rPr>
  </w:style>
  <w:style w:type="character" w:customStyle="1" w:styleId="NumberedListChar">
    <w:name w:val="Numbered List Char"/>
    <w:basedOn w:val="ListParagraphChar"/>
    <w:link w:val="NumberedList"/>
    <w:uiPriority w:val="8"/>
    <w:rsid w:val="00F304BC"/>
    <w:rPr>
      <w:rFonts w:asciiTheme="minorHAnsi" w:hAnsiTheme="minorHAnsi" w:cstheme="minorBidi"/>
      <w:sz w:val="22"/>
      <w:szCs w:val="22"/>
      <w:lang w:val="en-CA"/>
    </w:rPr>
  </w:style>
  <w:style w:type="paragraph" w:customStyle="1" w:styleId="IndentedText">
    <w:name w:val="Indented Text"/>
    <w:basedOn w:val="Quote"/>
    <w:link w:val="IndentedTextChar"/>
    <w:uiPriority w:val="11"/>
    <w:qFormat/>
    <w:rsid w:val="00554803"/>
    <w:pPr>
      <w:ind w:left="1440" w:hanging="720"/>
    </w:pPr>
    <w:rPr>
      <w:i w:val="0"/>
    </w:rPr>
  </w:style>
  <w:style w:type="character" w:customStyle="1" w:styleId="IndentedTextChar">
    <w:name w:val="Indented Text Char"/>
    <w:basedOn w:val="QuoteChar"/>
    <w:link w:val="IndentedText"/>
    <w:uiPriority w:val="11"/>
    <w:rsid w:val="00AD3F43"/>
    <w:rPr>
      <w:i w:val="0"/>
      <w:iCs/>
      <w:color w:val="000000" w:themeColor="text1"/>
      <w:sz w:val="22"/>
      <w:szCs w:val="22"/>
    </w:rPr>
  </w:style>
  <w:style w:type="character" w:styleId="CommentReference">
    <w:name w:val="annotation reference"/>
    <w:basedOn w:val="DefaultParagraphFont"/>
    <w:uiPriority w:val="99"/>
    <w:semiHidden/>
    <w:unhideWhenUsed/>
    <w:rsid w:val="00BB22E9"/>
    <w:rPr>
      <w:sz w:val="16"/>
      <w:szCs w:val="16"/>
    </w:rPr>
  </w:style>
  <w:style w:type="paragraph" w:styleId="CommentText">
    <w:name w:val="annotation text"/>
    <w:basedOn w:val="Normal"/>
    <w:link w:val="CommentTextChar"/>
    <w:uiPriority w:val="99"/>
    <w:semiHidden/>
    <w:unhideWhenUsed/>
    <w:rsid w:val="00BB22E9"/>
    <w:rPr>
      <w:sz w:val="20"/>
      <w:szCs w:val="20"/>
    </w:rPr>
  </w:style>
  <w:style w:type="character" w:customStyle="1" w:styleId="CommentTextChar">
    <w:name w:val="Comment Text Char"/>
    <w:basedOn w:val="DefaultParagraphFont"/>
    <w:link w:val="CommentText"/>
    <w:uiPriority w:val="99"/>
    <w:semiHidden/>
    <w:rsid w:val="00BB22E9"/>
    <w:rPr>
      <w:sz w:val="20"/>
      <w:szCs w:val="20"/>
    </w:rPr>
  </w:style>
  <w:style w:type="paragraph" w:styleId="CommentSubject">
    <w:name w:val="annotation subject"/>
    <w:basedOn w:val="CommentText"/>
    <w:next w:val="CommentText"/>
    <w:link w:val="CommentSubjectChar"/>
    <w:uiPriority w:val="99"/>
    <w:semiHidden/>
    <w:unhideWhenUsed/>
    <w:rsid w:val="00BB22E9"/>
    <w:rPr>
      <w:b/>
      <w:bCs/>
    </w:rPr>
  </w:style>
  <w:style w:type="character" w:customStyle="1" w:styleId="CommentSubjectChar">
    <w:name w:val="Comment Subject Char"/>
    <w:basedOn w:val="CommentTextChar"/>
    <w:link w:val="CommentSubject"/>
    <w:uiPriority w:val="99"/>
    <w:semiHidden/>
    <w:rsid w:val="00BB22E9"/>
    <w:rPr>
      <w:b/>
      <w:bCs/>
      <w:sz w:val="20"/>
      <w:szCs w:val="20"/>
    </w:rPr>
  </w:style>
  <w:style w:type="paragraph" w:styleId="BalloonText">
    <w:name w:val="Balloon Text"/>
    <w:basedOn w:val="Normal"/>
    <w:link w:val="BalloonTextChar"/>
    <w:uiPriority w:val="99"/>
    <w:semiHidden/>
    <w:unhideWhenUsed/>
    <w:rsid w:val="00BB22E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2E9"/>
    <w:rPr>
      <w:rFonts w:ascii="Tahoma" w:hAnsi="Tahoma" w:cs="Tahoma"/>
      <w:sz w:val="16"/>
      <w:szCs w:val="16"/>
    </w:rPr>
  </w:style>
  <w:style w:type="paragraph" w:styleId="TOC1">
    <w:name w:val="toc 1"/>
    <w:basedOn w:val="Normal"/>
    <w:next w:val="Normal"/>
    <w:autoRedefine/>
    <w:uiPriority w:val="39"/>
    <w:rsid w:val="00953B99"/>
    <w:pPr>
      <w:spacing w:after="100"/>
    </w:pPr>
  </w:style>
  <w:style w:type="paragraph" w:styleId="EndnoteText">
    <w:name w:val="endnote text"/>
    <w:basedOn w:val="Normal"/>
    <w:link w:val="EndnoteTextChar"/>
    <w:uiPriority w:val="99"/>
    <w:semiHidden/>
    <w:unhideWhenUsed/>
    <w:rsid w:val="00D64559"/>
    <w:pPr>
      <w:spacing w:after="0"/>
    </w:pPr>
    <w:rPr>
      <w:sz w:val="20"/>
      <w:szCs w:val="20"/>
    </w:rPr>
  </w:style>
  <w:style w:type="character" w:customStyle="1" w:styleId="EndnoteTextChar">
    <w:name w:val="Endnote Text Char"/>
    <w:basedOn w:val="DefaultParagraphFont"/>
    <w:link w:val="EndnoteText"/>
    <w:uiPriority w:val="99"/>
    <w:semiHidden/>
    <w:rsid w:val="00D64559"/>
    <w:rPr>
      <w:sz w:val="20"/>
      <w:szCs w:val="20"/>
    </w:rPr>
  </w:style>
  <w:style w:type="character" w:customStyle="1" w:styleId="Heading6Char">
    <w:name w:val="Heading 6 Char"/>
    <w:basedOn w:val="DefaultParagraphFont"/>
    <w:link w:val="Heading6"/>
    <w:uiPriority w:val="9"/>
    <w:rsid w:val="00F31629"/>
    <w:rPr>
      <w:rFonts w:asciiTheme="majorHAnsi" w:eastAsiaTheme="majorEastAsia" w:hAnsiTheme="majorHAnsi" w:cstheme="majorBidi"/>
      <w:i/>
      <w:iCs/>
      <w:color w:val="004C7F" w:themeColor="accent1" w:themeShade="7F"/>
      <w:sz w:val="22"/>
    </w:rPr>
  </w:style>
  <w:style w:type="paragraph" w:styleId="TableofFigures">
    <w:name w:val="table of figures"/>
    <w:basedOn w:val="Normal"/>
    <w:next w:val="Normal"/>
    <w:uiPriority w:val="99"/>
    <w:semiHidden/>
    <w:unhideWhenUsed/>
    <w:rsid w:val="00845010"/>
    <w:pPr>
      <w:spacing w:after="0"/>
    </w:pPr>
  </w:style>
  <w:style w:type="paragraph" w:styleId="TOCHeading">
    <w:name w:val="TOC Heading"/>
    <w:basedOn w:val="Heading1"/>
    <w:next w:val="Normal"/>
    <w:uiPriority w:val="39"/>
    <w:unhideWhenUsed/>
    <w:qFormat/>
    <w:rsid w:val="00953B99"/>
    <w:pPr>
      <w:spacing w:before="480" w:after="0" w:line="276" w:lineRule="auto"/>
      <w:jc w:val="left"/>
      <w:outlineLvl w:val="9"/>
    </w:pPr>
    <w:rPr>
      <w:rFonts w:asciiTheme="majorHAnsi" w:hAnsiTheme="majorHAnsi"/>
      <w:color w:val="003366"/>
      <w:lang w:eastAsia="ja-JP"/>
    </w:rPr>
  </w:style>
  <w:style w:type="paragraph" w:styleId="TOC2">
    <w:name w:val="toc 2"/>
    <w:basedOn w:val="Normal"/>
    <w:next w:val="Normal"/>
    <w:autoRedefine/>
    <w:uiPriority w:val="39"/>
    <w:rsid w:val="00CE1CE5"/>
    <w:pPr>
      <w:spacing w:after="100"/>
      <w:ind w:left="220"/>
    </w:pPr>
  </w:style>
  <w:style w:type="paragraph" w:styleId="TOC3">
    <w:name w:val="toc 3"/>
    <w:basedOn w:val="Normal"/>
    <w:next w:val="Normal"/>
    <w:autoRedefine/>
    <w:uiPriority w:val="39"/>
    <w:unhideWhenUsed/>
    <w:rsid w:val="00CE1CE5"/>
    <w:pPr>
      <w:spacing w:after="100"/>
      <w:ind w:left="440"/>
    </w:pPr>
  </w:style>
  <w:style w:type="character" w:styleId="Hyperlink">
    <w:name w:val="Hyperlink"/>
    <w:basedOn w:val="DefaultParagraphFont"/>
    <w:uiPriority w:val="99"/>
    <w:unhideWhenUsed/>
    <w:rsid w:val="00CE1CE5"/>
    <w:rPr>
      <w:color w:val="0000FF" w:themeColor="hyperlink"/>
      <w:u w:val="single"/>
    </w:rPr>
  </w:style>
  <w:style w:type="table" w:styleId="TableGrid">
    <w:name w:val="Table Grid"/>
    <w:basedOn w:val="TableNormal"/>
    <w:uiPriority w:val="39"/>
    <w:rsid w:val="000B752B"/>
    <w:pPr>
      <w:spacing w:after="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rsid w:val="000C63A2"/>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0B5736"/>
    <w:rPr>
      <w:rFonts w:asciiTheme="majorHAnsi" w:eastAsiaTheme="majorEastAsia" w:hAnsiTheme="majorHAnsi" w:cstheme="majorBidi"/>
      <w:color w:val="404040" w:themeColor="text1" w:themeTint="BF"/>
      <w:sz w:val="20"/>
      <w:szCs w:val="20"/>
    </w:rPr>
  </w:style>
  <w:style w:type="numbering" w:customStyle="1" w:styleId="Style1">
    <w:name w:val="Style1"/>
    <w:uiPriority w:val="99"/>
    <w:rsid w:val="004A2FFC"/>
    <w:pPr>
      <w:numPr>
        <w:numId w:val="4"/>
      </w:numPr>
    </w:pPr>
  </w:style>
  <w:style w:type="paragraph" w:customStyle="1" w:styleId="BulletsBlack">
    <w:name w:val="Bullets Black"/>
    <w:basedOn w:val="ListParagraph"/>
    <w:link w:val="BulletsBlackChar"/>
    <w:rsid w:val="00186C54"/>
    <w:pPr>
      <w:numPr>
        <w:numId w:val="3"/>
      </w:numPr>
    </w:pPr>
  </w:style>
  <w:style w:type="character" w:customStyle="1" w:styleId="BulletsBlackChar">
    <w:name w:val="Bullets Black Char"/>
    <w:basedOn w:val="ListParagraphChar"/>
    <w:link w:val="BulletsBlack"/>
    <w:rsid w:val="00186C54"/>
    <w:rPr>
      <w:rFonts w:asciiTheme="minorHAnsi" w:hAnsiTheme="minorHAnsi" w:cstheme="minorBidi"/>
      <w:sz w:val="22"/>
      <w:szCs w:val="22"/>
      <w:lang w:val="en-CA"/>
    </w:rPr>
  </w:style>
  <w:style w:type="paragraph" w:customStyle="1" w:styleId="3Heading">
    <w:name w:val="#3  Heading"/>
    <w:basedOn w:val="Heading3"/>
    <w:next w:val="Normal"/>
    <w:link w:val="3HeadingChar"/>
    <w:qFormat/>
    <w:rsid w:val="00477B28"/>
    <w:pPr>
      <w:keepLines w:val="0"/>
      <w:widowControl w:val="0"/>
      <w:numPr>
        <w:numId w:val="5"/>
      </w:numPr>
      <w:spacing w:before="360" w:after="240"/>
    </w:pPr>
    <w:rPr>
      <w:rFonts w:ascii="Tahoma" w:eastAsia="Times New Roman" w:hAnsi="Tahoma" w:cs="Times New Roman"/>
      <w:b w:val="0"/>
      <w:snapToGrid w:val="0"/>
      <w:color w:val="0D0D0D" w:themeColor="text1" w:themeTint="F2"/>
      <w:sz w:val="29"/>
    </w:rPr>
  </w:style>
  <w:style w:type="character" w:customStyle="1" w:styleId="3HeadingChar">
    <w:name w:val="#3  Heading Char"/>
    <w:basedOn w:val="DefaultParagraphFont"/>
    <w:link w:val="3Heading"/>
    <w:rsid w:val="00477B28"/>
    <w:rPr>
      <w:rFonts w:ascii="Tahoma" w:eastAsia="Times New Roman" w:hAnsi="Tahoma" w:cs="Times New Roman"/>
      <w:bCs/>
      <w:snapToGrid w:val="0"/>
      <w:color w:val="0D0D0D" w:themeColor="text1" w:themeTint="F2"/>
      <w:sz w:val="29"/>
      <w:szCs w:val="22"/>
      <w:lang w:val="en-CA"/>
    </w:rPr>
  </w:style>
  <w:style w:type="paragraph" w:customStyle="1" w:styleId="Body">
    <w:name w:val="Body"/>
    <w:basedOn w:val="Normal"/>
    <w:qFormat/>
    <w:rsid w:val="002D3600"/>
    <w:pPr>
      <w:spacing w:after="240" w:line="274" w:lineRule="auto"/>
    </w:pPr>
    <w:rPr>
      <w:rFonts w:ascii="Montserrat" w:hAnsi="Montserrat" w:cs="Times New Roman (Body CS)"/>
      <w:spacing w:val="2"/>
      <w:sz w:val="19"/>
      <w:szCs w:val="24"/>
    </w:rPr>
  </w:style>
  <w:style w:type="paragraph" w:styleId="ListBullet">
    <w:name w:val="List Bullet"/>
    <w:basedOn w:val="Body"/>
    <w:uiPriority w:val="99"/>
    <w:unhideWhenUsed/>
    <w:rsid w:val="002D3600"/>
    <w:pPr>
      <w:numPr>
        <w:numId w:val="12"/>
      </w:numPr>
      <w:contextualSpacing/>
    </w:pPr>
  </w:style>
  <w:style w:type="paragraph" w:customStyle="1" w:styleId="Listletters">
    <w:name w:val="List letters"/>
    <w:basedOn w:val="Body"/>
    <w:qFormat/>
    <w:rsid w:val="002D3600"/>
    <w:pPr>
      <w:numPr>
        <w:numId w:val="13"/>
      </w:numPr>
      <w:ind w:left="340" w:hanging="340"/>
      <w:contextualSpacing/>
    </w:pPr>
  </w:style>
  <w:style w:type="paragraph" w:customStyle="1" w:styleId="HeadingLevel2">
    <w:name w:val="Heading Level 2"/>
    <w:basedOn w:val="Heading2"/>
    <w:next w:val="Body"/>
    <w:qFormat/>
    <w:rsid w:val="002D3600"/>
    <w:pPr>
      <w:tabs>
        <w:tab w:val="left" w:pos="510"/>
        <w:tab w:val="left" w:pos="567"/>
      </w:tabs>
      <w:adjustRightInd w:val="0"/>
      <w:spacing w:before="240" w:after="120" w:line="276" w:lineRule="auto"/>
      <w:ind w:left="567" w:hanging="567"/>
    </w:pPr>
    <w:rPr>
      <w:rFonts w:ascii="Montserrat Medium" w:hAnsi="Montserrat Medium" w:cs="Times New Roman (Headings CS)"/>
      <w:b w:val="0"/>
      <w:bCs w:val="0"/>
      <w:color w:val="0D4561"/>
      <w:sz w:val="22"/>
    </w:rPr>
  </w:style>
  <w:style w:type="paragraph" w:customStyle="1" w:styleId="Flowchart-HeadingWhite">
    <w:name w:val="Flowchart - Heading White"/>
    <w:basedOn w:val="Body"/>
    <w:qFormat/>
    <w:rsid w:val="002D3600"/>
    <w:pPr>
      <w:keepNext/>
      <w:spacing w:after="0"/>
      <w:jc w:val="center"/>
    </w:pPr>
    <w:rPr>
      <w:color w:val="FFFFFF" w:themeColor="background1"/>
      <w:sz w:val="24"/>
    </w:rPr>
  </w:style>
  <w:style w:type="paragraph" w:customStyle="1" w:styleId="Flowchart-Body">
    <w:name w:val="Flowchart - Body"/>
    <w:basedOn w:val="Body"/>
    <w:qFormat/>
    <w:rsid w:val="002D3600"/>
    <w:pPr>
      <w:keepNext/>
      <w:framePr w:hSpace="180" w:wrap="around" w:vAnchor="text" w:hAnchor="margin" w:y="108"/>
      <w:spacing w:before="60" w:line="288" w:lineRule="auto"/>
      <w:jc w:val="center"/>
    </w:pPr>
    <w:rPr>
      <w:noProof/>
    </w:rPr>
  </w:style>
  <w:style w:type="paragraph" w:customStyle="1" w:styleId="Flowchart-Title">
    <w:name w:val="Flowchart - Title"/>
    <w:basedOn w:val="Body"/>
    <w:qFormat/>
    <w:rsid w:val="002D3600"/>
    <w:pPr>
      <w:keepNext/>
      <w:framePr w:hSpace="180" w:wrap="around" w:vAnchor="text" w:hAnchor="margin" w:y="738"/>
      <w:spacing w:line="288" w:lineRule="auto"/>
    </w:pPr>
    <w:rPr>
      <w:b/>
    </w:rPr>
  </w:style>
  <w:style w:type="paragraph" w:styleId="FootnoteText">
    <w:name w:val="footnote text"/>
    <w:basedOn w:val="Normal"/>
    <w:link w:val="FootnoteTextChar"/>
    <w:uiPriority w:val="99"/>
    <w:rsid w:val="002D3600"/>
    <w:pPr>
      <w:spacing w:after="120" w:line="240" w:lineRule="auto"/>
    </w:pPr>
    <w:rPr>
      <w:rFonts w:ascii="Montserrat" w:eastAsia="Times New Roman" w:hAnsi="Montserrat" w:cs="Times New Roman"/>
      <w:sz w:val="16"/>
      <w:szCs w:val="20"/>
    </w:rPr>
  </w:style>
  <w:style w:type="character" w:customStyle="1" w:styleId="FootnoteTextChar">
    <w:name w:val="Footnote Text Char"/>
    <w:basedOn w:val="DefaultParagraphFont"/>
    <w:link w:val="FootnoteText"/>
    <w:uiPriority w:val="99"/>
    <w:rsid w:val="002D3600"/>
    <w:rPr>
      <w:rFonts w:ascii="Montserrat" w:eastAsia="Times New Roman" w:hAnsi="Montserrat" w:cs="Times New Roman"/>
      <w:sz w:val="16"/>
      <w:szCs w:val="20"/>
      <w:lang w:val="en-CA"/>
    </w:rPr>
  </w:style>
  <w:style w:type="character" w:styleId="FootnoteReference">
    <w:name w:val="footnote reference"/>
    <w:uiPriority w:val="99"/>
    <w:rsid w:val="002D3600"/>
    <w:rPr>
      <w:vertAlign w:val="superscript"/>
    </w:rPr>
  </w:style>
  <w:style w:type="paragraph" w:customStyle="1" w:styleId="Heading1-pagebreak">
    <w:name w:val="Heading 1 - page break"/>
    <w:basedOn w:val="Heading1"/>
    <w:next w:val="Body"/>
    <w:autoRedefine/>
    <w:qFormat/>
    <w:rsid w:val="002D3600"/>
    <w:pPr>
      <w:pageBreakBefore/>
      <w:spacing w:before="960" w:after="120" w:line="400" w:lineRule="exact"/>
      <w:ind w:left="720" w:hanging="720"/>
      <w:jc w:val="left"/>
    </w:pPr>
    <w:rPr>
      <w:rFonts w:ascii="Montserrat" w:hAnsi="Montserrat" w:cs="Times New Roman (Headings CS)"/>
      <w:b w:val="0"/>
      <w:color w:val="920030"/>
      <w:kern w:val="36"/>
      <w:sz w:val="36"/>
      <w:szCs w:val="32"/>
      <w:lang w:val="en-US"/>
    </w:rPr>
  </w:style>
  <w:style w:type="paragraph" w:customStyle="1" w:styleId="Listroman">
    <w:name w:val="List roman"/>
    <w:basedOn w:val="Body"/>
    <w:qFormat/>
    <w:rsid w:val="002D3600"/>
    <w:pPr>
      <w:numPr>
        <w:numId w:val="25"/>
      </w:numPr>
      <w:contextualSpacing/>
    </w:pPr>
    <w:rPr>
      <w:lang w:val="en-US"/>
    </w:rPr>
  </w:style>
  <w:style w:type="paragraph" w:customStyle="1" w:styleId="SidebarHeading">
    <w:name w:val="Sidebar Heading"/>
    <w:basedOn w:val="Listletters"/>
    <w:qFormat/>
    <w:rsid w:val="002D3600"/>
    <w:pPr>
      <w:keepNext/>
      <w:numPr>
        <w:numId w:val="0"/>
      </w:numPr>
      <w:spacing w:before="120" w:after="120"/>
      <w:ind w:left="227"/>
    </w:pPr>
    <w:rPr>
      <w:rFonts w:ascii="Montserrat SemiBold" w:hAnsi="Montserrat SemiBold"/>
      <w:b/>
      <w:bCs/>
      <w:szCs w:val="16"/>
      <w:lang w:val="en-US"/>
    </w:rPr>
  </w:style>
  <w:style w:type="paragraph" w:customStyle="1" w:styleId="Sidebar-Body">
    <w:name w:val="Sidebar - Body"/>
    <w:basedOn w:val="Listletters"/>
    <w:qFormat/>
    <w:rsid w:val="002D3600"/>
    <w:pPr>
      <w:keepNext/>
      <w:keepLines/>
      <w:numPr>
        <w:numId w:val="0"/>
      </w:numPr>
      <w:spacing w:before="120"/>
      <w:ind w:left="227"/>
    </w:pPr>
    <w:rPr>
      <w:szCs w:val="16"/>
      <w:lang w:val="en-US"/>
    </w:rPr>
  </w:style>
  <w:style w:type="paragraph" w:customStyle="1" w:styleId="Heading2-exclTOC">
    <w:name w:val="Heading 2 - excl TOC"/>
    <w:basedOn w:val="Heading2"/>
    <w:qFormat/>
    <w:rsid w:val="002D3600"/>
    <w:pPr>
      <w:tabs>
        <w:tab w:val="left" w:pos="567"/>
      </w:tabs>
      <w:spacing w:before="240" w:after="120" w:line="276" w:lineRule="auto"/>
      <w:ind w:left="567" w:hanging="567"/>
    </w:pPr>
    <w:rPr>
      <w:rFonts w:ascii="Montserrat Medium" w:hAnsi="Montserrat Medium" w:cs="Times New Roman (Headings CS)"/>
      <w:b w:val="0"/>
      <w:bCs w:val="0"/>
      <w:color w:val="0D4561"/>
      <w:sz w:val="22"/>
    </w:rPr>
  </w:style>
  <w:style w:type="paragraph" w:customStyle="1" w:styleId="Heading3-exclTOC">
    <w:name w:val="Heading 3 - excl TOC"/>
    <w:basedOn w:val="Heading3"/>
    <w:qFormat/>
    <w:rsid w:val="002D3600"/>
    <w:pPr>
      <w:tabs>
        <w:tab w:val="left" w:pos="567"/>
        <w:tab w:val="left" w:pos="737"/>
      </w:tabs>
      <w:spacing w:before="240" w:after="120" w:line="276" w:lineRule="auto"/>
      <w:ind w:left="720" w:hanging="720"/>
    </w:pPr>
    <w:rPr>
      <w:rFonts w:ascii="Montserrat Medium" w:hAnsi="Montserrat Medium" w:cs="Times New Roman (Headings CS)"/>
      <w:b w:val="0"/>
      <w:bCs w:val="0"/>
      <w:color w:val="0D4561"/>
      <w:spacing w:val="4"/>
      <w:sz w:val="21"/>
      <w:szCs w:val="26"/>
      <w:lang w:val="en-US"/>
    </w:rPr>
  </w:style>
  <w:style w:type="table" w:customStyle="1" w:styleId="GuidanceSidebar">
    <w:name w:val="Guidance Sidebar"/>
    <w:basedOn w:val="TableNormal"/>
    <w:uiPriority w:val="99"/>
    <w:rsid w:val="002D3600"/>
    <w:pPr>
      <w:keepLines/>
      <w:spacing w:after="120"/>
    </w:pPr>
    <w:rPr>
      <w:rFonts w:asciiTheme="minorHAnsi" w:hAnsiTheme="minorHAnsi" w:cstheme="minorBidi"/>
      <w:lang w:val="en-CA"/>
    </w:rPr>
    <w:tblPr>
      <w:tblBorders>
        <w:top w:val="single" w:sz="4" w:space="0" w:color="C00000"/>
        <w:bottom w:val="single" w:sz="4" w:space="0" w:color="C00000"/>
        <w:insideH w:val="single" w:sz="4" w:space="0" w:color="C00000"/>
        <w:insideV w:val="single" w:sz="4" w:space="0" w:color="auto"/>
      </w:tblBorders>
    </w:tblPr>
    <w:trPr>
      <w:cantSplit/>
    </w:trPr>
    <w:tcPr>
      <w:shd w:val="clear" w:color="auto" w:fill="F2F2F2" w:themeFill="background1" w:themeFillShade="F2"/>
    </w:tcPr>
  </w:style>
  <w:style w:type="paragraph" w:styleId="ListNumber2">
    <w:name w:val="List Number 2"/>
    <w:basedOn w:val="Body"/>
    <w:uiPriority w:val="99"/>
    <w:unhideWhenUsed/>
    <w:rsid w:val="002D3600"/>
    <w:pPr>
      <w:numPr>
        <w:numId w:val="3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ucqa.ca/guide/creating-an-effective-self-study/" TargetMode="External"/><Relationship Id="rId18" Type="http://schemas.openxmlformats.org/officeDocument/2006/relationships/hyperlink" Target="https://oucqa.ca/guide/choosing-arms-length-reviewers-2-2-1-and-5-2-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oucqa.ca/guide/choosing-arms-length-reviewers-2-2-1-and-5-2-1/" TargetMode="External"/><Relationship Id="rId7" Type="http://schemas.openxmlformats.org/officeDocument/2006/relationships/endnotes" Target="endnotes.xml"/><Relationship Id="rId12" Type="http://schemas.openxmlformats.org/officeDocument/2006/relationships/hyperlink" Target="https://oucqa.ca/guide/approval-and-review-of-joint-programs-offered-by-two-or-more-institutions/" TargetMode="External"/><Relationship Id="rId17" Type="http://schemas.openxmlformats.org/officeDocument/2006/relationships/hyperlink" Target="https://oucqa.ca/guide/guidance-on-sessional-adjunct-faculty-qaf-2-1-2-6-and-5-1-3-1-6/"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oucqa.ca/guide/assessment-of-teaching-and-learning-qaf-2-1-2-4-and-5-1-3-1-4/" TargetMode="External"/><Relationship Id="rId20" Type="http://schemas.openxmlformats.org/officeDocument/2006/relationships/hyperlink" Target="https://oucqa.ca/guide/virtual-quality-assurance-site-visi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https://oucqa.ca/guide/web-publication-of-quality-assurance-related-material/" TargetMode="External"/><Relationship Id="rId5" Type="http://schemas.openxmlformats.org/officeDocument/2006/relationships/webSettings" Target="webSettings.xml"/><Relationship Id="rId15" Type="http://schemas.openxmlformats.org/officeDocument/2006/relationships/hyperlink" Target="https://oucqa.ca/guide/creating-an-effective-self-study/" TargetMode="External"/><Relationship Id="rId23" Type="http://schemas.openxmlformats.org/officeDocument/2006/relationships/hyperlink" Target="https://oucqa.ca/guide/final-assessment-reports-implementation-plans-and-the-executive-summary-section-5-3-2/" TargetMode="External"/><Relationship Id="rId10" Type="http://schemas.openxmlformats.org/officeDocument/2006/relationships/hyperlink" Target="https://oucqa.ca/guide/approval-and-review-of-joint-programs-offered-by-two-or-more-institutions/" TargetMode="External"/><Relationship Id="rId19" Type="http://schemas.openxmlformats.org/officeDocument/2006/relationships/hyperlink" Target="https://oucqa.ca/guide/internal-member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ucqa.ca/guide/involving-students-in-quality-assurance-processes/" TargetMode="External"/><Relationship Id="rId22" Type="http://schemas.openxmlformats.org/officeDocument/2006/relationships/hyperlink" Target="https://oucqa.ca/resources-publications/templates/"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nesdoc.unesco.org/ark:/48223/pf0000134621" TargetMode="External"/></Relationships>
</file>

<file path=word/theme/theme1.xml><?xml version="1.0" encoding="utf-8"?>
<a:theme xmlns:a="http://schemas.openxmlformats.org/drawingml/2006/main" name="Office Theme">
  <a:themeElements>
    <a:clrScheme name="COU Branded Theme">
      <a:dk1>
        <a:sysClr val="windowText" lastClr="000000"/>
      </a:dk1>
      <a:lt1>
        <a:sysClr val="window" lastClr="FFFFFF"/>
      </a:lt1>
      <a:dk2>
        <a:srgbClr val="003366"/>
      </a:dk2>
      <a:lt2>
        <a:srgbClr val="EDEDED"/>
      </a:lt2>
      <a:accent1>
        <a:srgbClr val="0099FF"/>
      </a:accent1>
      <a:accent2>
        <a:srgbClr val="660033"/>
      </a:accent2>
      <a:accent3>
        <a:srgbClr val="008A00"/>
      </a:accent3>
      <a:accent4>
        <a:srgbClr val="0066FF"/>
      </a:accent4>
      <a:accent5>
        <a:srgbClr val="333333"/>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AAA0D-FF09-477E-86C0-693FFA182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5622</Words>
  <Characters>30809</Characters>
  <Application>Microsoft Office Word</Application>
  <DocSecurity>0</DocSecurity>
  <Lines>616</Lines>
  <Paragraphs>346</Paragraphs>
  <ScaleCrop>false</ScaleCrop>
  <HeadingPairs>
    <vt:vector size="2" baseType="variant">
      <vt:variant>
        <vt:lpstr>Title</vt:lpstr>
      </vt:variant>
      <vt:variant>
        <vt:i4>1</vt:i4>
      </vt:variant>
    </vt:vector>
  </HeadingPairs>
  <TitlesOfParts>
    <vt:vector size="1" baseType="lpstr">
      <vt:lpstr/>
    </vt:vector>
  </TitlesOfParts>
  <Company>COU</Company>
  <LinksUpToDate>false</LinksUpToDate>
  <CharactersWithSpaces>36085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Bethune</dc:creator>
  <cp:keywords/>
  <dc:description/>
  <cp:lastModifiedBy>Brittany McFarlane</cp:lastModifiedBy>
  <cp:revision>4</cp:revision>
  <dcterms:created xsi:type="dcterms:W3CDTF">2024-03-22T16:18:00Z</dcterms:created>
  <dcterms:modified xsi:type="dcterms:W3CDTF">2024-06-12T19:17:00Z</dcterms:modified>
</cp:coreProperties>
</file>